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bl>
      <w:tblPr>
        <w:tblStyle w:val="Table1"/>
        <w:tblW w:w="9360" w:type="dxa"/>
        <w:jc w:val="start"/>
        <w:tblInd w:w="0" w:type="dxa"/>
        <w:tblLayout w:type="fixed"/>
        <w:tblCellMar>
          <w:top w:w="0" w:type="dxa"/>
          <w:start w:w="108" w:type="dxa"/>
          <w:bottom w:w="0" w:type="dxa"/>
          <w:end w:w="108" w:type="dxa"/>
        </w:tblCellMar>
        <w:tblLook w:val="0400"/>
      </w:tblPr>
      <w:tblGrid>
        <w:gridCol w:w="2195"/>
        <w:gridCol w:w="7165"/>
      </w:tblGrid>
      <w:tr>
        <w:trPr/>
        <w:tc>
          <w:tcPr>
            <w:tcW w:w="2195" w:type="dxa"/>
            <w:vMerge w:val="restart"/>
            <w:tcBorders/>
          </w:tcPr>
          <w:p>
            <w:pPr>
              <w:pStyle w:val="normal1"/>
              <w:spacing w:before="0" w:after="160"/>
              <w:rPr>
                <w:rFonts w:ascii="Times New Roman" w:hAnsi="Times New Roman" w:eastAsia="Times New Roman" w:cs="Times New Roman"/>
                <w:b/>
                <w:bCs/>
                <w:sz w:val="24"/>
                <w:szCs w:val="24"/>
              </w:rPr>
            </w:pPr>
            <w:r>
              <w:rPr/>
              <w:drawing>
                <wp:inline distT="0" distB="0" distL="0" distR="0">
                  <wp:extent cx="1294130" cy="664845"/>
                  <wp:effectExtent l="0" t="0" r="0" b="0"/>
                  <wp:docPr id="1" name="image1.png" descr="C:\Users\ducln_onemount\AppData\Local\Microsoft\Windows\INetCache\Content.Word\logo-5bi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ducln_onemount\AppData\Local\Microsoft\Windows\INetCache\Content.Word\logo-5bib.png"/>
                          <pic:cNvPicPr>
                            <a:picLocks noChangeAspect="1" noChangeArrowheads="1"/>
                          </pic:cNvPicPr>
                        </pic:nvPicPr>
                        <pic:blipFill>
                          <a:blip r:embed="rId2"/>
                          <a:stretch>
                            <a:fillRect/>
                          </a:stretch>
                        </pic:blipFill>
                        <pic:spPr bwMode="auto">
                          <a:xfrm>
                            <a:off x="0" y="0"/>
                            <a:ext cx="1294130" cy="664845"/>
                          </a:xfrm>
                          <a:prstGeom prst="rect">
                            <a:avLst/>
                          </a:prstGeom>
                          <a:noFill/>
                        </pic:spPr>
                      </pic:pic>
                    </a:graphicData>
                  </a:graphic>
                </wp:inline>
              </w:drawing>
            </w:r>
          </w:p>
        </w:tc>
        <w:tc>
          <w:tcPr>
            <w:tcW w:w="7165" w:type="dxa"/>
            <w:tcBorders/>
          </w:tcPr>
          <w:p>
            <w:pPr>
              <w:pStyle w:val="normal1"/>
              <w:spacing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{provider.entityName}</w:t>
            </w:r>
          </w:p>
        </w:tc>
      </w:tr>
      <w:tr>
        <w:trPr/>
        <w:tc>
          <w:tcPr>
            <w:tcW w:w="2195" w:type="dxa"/>
            <w:vMerge w:val="continue"/>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c>
          <w:tcPr>
            <w:tcW w:w="7165" w:type="dxa"/>
            <w:tcBorders/>
          </w:tcPr>
          <w:p>
            <w:pPr>
              <w:pStyle w:val="normal1"/>
              <w:spacing w:before="0" w:after="16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MST: {provider.taxId}</w:t>
            </w:r>
          </w:p>
        </w:tc>
      </w:tr>
      <w:tr>
        <w:trPr/>
        <w:tc>
          <w:tcPr>
            <w:tcW w:w="2195" w:type="dxa"/>
            <w:vMerge w:val="continue"/>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c>
          <w:tcPr>
            <w:tcW w:w="7165" w:type="dxa"/>
            <w:tcBorders/>
          </w:tcPr>
          <w:p>
            <w:pPr>
              <w:pStyle w:val="normal1"/>
              <w:spacing w:before="0" w:after="16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{provider.address}, TP Hà Nội, Việt Nam</w:t>
            </w:r>
          </w:p>
        </w:tc>
      </w:tr>
    </w:tbl>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pPr>
      <w:r>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tbl>
      <w:tblPr>
        <w:tblStyle w:val="Table2"/>
        <w:tblW w:w="9350" w:type="dxa"/>
        <w:jc w:val="start"/>
        <w:tblInd w:w="0" w:type="dxa"/>
        <w:tblLayout w:type="fixed"/>
        <w:tblCellMar>
          <w:top w:w="0" w:type="dxa"/>
          <w:start w:w="108" w:type="dxa"/>
          <w:bottom w:w="0" w:type="dxa"/>
          <w:end w:w="108" w:type="dxa"/>
        </w:tblCellMar>
        <w:tblLook w:val="0400"/>
      </w:tblPr>
      <w:tblGrid>
        <w:gridCol w:w="9350"/>
      </w:tblGrid>
      <w:tr>
        <w:trPr>
          <w:trHeight w:val="1637" w:hRule="atLeast"/>
        </w:trPr>
        <w:tc>
          <w:tcPr>
            <w:tcW w:w="9350" w:type="dxa"/>
            <w:tcBorders/>
          </w:tcPr>
          <w:p>
            <w:pPr>
              <w:pStyle w:val="normal1"/>
              <w:spacing w:before="0" w:after="1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r>
        <w:trPr>
          <w:trHeight w:val="3636" w:hRule="atLeast"/>
        </w:trPr>
        <w:tc>
          <w:tcPr>
            <w:tcW w:w="9350" w:type="dxa"/>
            <w:tcBorders/>
          </w:tcPr>
          <w:p>
            <w:pPr>
              <w:pStyle w:val="normal1"/>
              <w:rPr>
                <w:rFonts w:ascii="Times New Roman" w:hAnsi="Times New Roman" w:eastAsia="Times New Roman" w:cs="Times New Roman"/>
                <w:b/>
                <w:bCs/>
                <w:color w:val="0000FF"/>
                <w:sz w:val="90"/>
                <w:szCs w:val="90"/>
              </w:rPr>
            </w:pPr>
            <w:bookmarkStart w:id="0" w:name="_heading=h.h753dr398tzi"/>
            <w:bookmarkEnd w:id="0"/>
            <w:r>
              <w:rPr>
                <w:rFonts w:eastAsia="Times New Roman" w:cs="Times New Roman" w:ascii="Times New Roman" w:hAnsi="Times New Roman"/>
                <w:b/>
                <w:bCs/>
                <w:color w:val="0000FF"/>
                <w:sz w:val="90"/>
                <w:szCs w:val="90"/>
              </w:rPr>
              <w:t xml:space="preserve">HỢP ĐỒNG </w:t>
            </w:r>
          </w:p>
          <w:p>
            <w:pPr>
              <w:pStyle w:val="normal1"/>
              <w:spacing w:before="0" w:after="160"/>
              <w:rPr>
                <w:rFonts w:ascii="Times New Roman" w:hAnsi="Times New Roman" w:eastAsia="Times New Roman" w:cs="Times New Roman"/>
                <w:b/>
                <w:bCs/>
                <w:color w:val="0000FF"/>
                <w:sz w:val="90"/>
                <w:szCs w:val="90"/>
              </w:rPr>
            </w:pPr>
            <w:r>
              <w:rPr>
                <w:rFonts w:eastAsia="Times New Roman" w:cs="Times New Roman" w:ascii="Times New Roman" w:hAnsi="Times New Roman"/>
                <w:b/>
                <w:bCs/>
                <w:color w:val="0000FF"/>
                <w:sz w:val="90"/>
                <w:szCs w:val="90"/>
              </w:rPr>
              <w:t>CUNG CẤP DỊCH VỤ BÁN VÉ</w:t>
            </w:r>
          </w:p>
        </w:tc>
      </w:tr>
      <w:tr>
        <w:trPr>
          <w:trHeight w:val="539" w:hRule="atLeast"/>
        </w:trPr>
        <w:tc>
          <w:tcPr>
            <w:tcW w:w="9350" w:type="dxa"/>
            <w:tcBorders/>
            <w:vAlign w:val="center"/>
          </w:tcPr>
          <w:p>
            <w:pPr>
              <w:pStyle w:val="normal1"/>
              <w:spacing w:before="0" w:after="160"/>
              <w:rPr>
                <w:rFonts w:ascii="Times New Roman" w:hAnsi="Times New Roman" w:eastAsia="Times New Roman" w:cs="Times New Roman"/>
                <w:sz w:val="32"/>
                <w:szCs w:val="32"/>
              </w:rPr>
            </w:pPr>
            <w:r>
              <w:rPr>
                <w:rFonts w:eastAsia="Times New Roman" w:cs="Times New Roman" w:ascii="Times New Roman" w:hAnsi="Times New Roman"/>
                <w:sz w:val="32"/>
                <w:szCs w:val="32"/>
              </w:rPr>
              <w:t>Dự án/Giải chạy: Giải chạy {raceName}</w:t>
            </w:r>
          </w:p>
        </w:tc>
      </w:tr>
      <w:tr>
        <w:trPr>
          <w:trHeight w:val="539" w:hRule="atLeast"/>
        </w:trPr>
        <w:tc>
          <w:tcPr>
            <w:tcW w:w="9350" w:type="dxa"/>
            <w:tcBorders/>
            <w:vAlign w:val="center"/>
          </w:tcPr>
          <w:p>
            <w:pPr>
              <w:pStyle w:val="normal1"/>
              <w:spacing w:before="0" w:after="160"/>
              <w:rPr>
                <w:rFonts w:ascii="Times New Roman" w:hAnsi="Times New Roman" w:eastAsia="Times New Roman" w:cs="Times New Roman"/>
                <w:sz w:val="32"/>
                <w:szCs w:val="32"/>
              </w:rPr>
            </w:pPr>
            <w:r>
              <w:rPr>
                <w:rFonts w:eastAsia="Times New Roman" w:cs="Times New Roman" w:ascii="Times New Roman" w:hAnsi="Times New Roman"/>
                <w:sz w:val="32"/>
                <w:szCs w:val="32"/>
              </w:rPr>
              <w:t>Đối tác: {client.entityName}</w:t>
            </w:r>
          </w:p>
        </w:tc>
      </w:tr>
      <w:tr>
        <w:trPr>
          <w:trHeight w:val="3087" w:hRule="atLeast"/>
        </w:trPr>
        <w:tc>
          <w:tcPr>
            <w:tcW w:w="9350" w:type="dxa"/>
            <w:tcBorders/>
            <w:vAlign w:val="center"/>
          </w:tcPr>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Năm {signYear}</w:t>
            </w:r>
          </w:p>
          <w:p>
            <w:pPr>
              <w:pStyle w:val="normal1"/>
              <w:spacing w:before="0" w:after="160"/>
              <w:jc w:val="center"/>
              <w:rPr>
                <w:rFonts w:ascii="Times New Roman" w:hAnsi="Times New Roman" w:eastAsia="Times New Roman" w:cs="Times New Roman"/>
                <w:b/>
                <w:bCs/>
                <w:sz w:val="24"/>
                <w:szCs w:val="24"/>
              </w:rPr>
            </w:pPr>
            <w:r>
              <w:rPr>
                <w:rFonts w:eastAsia="Times New Roman" w:cs="Times New Roman" w:ascii="Times New Roman" w:hAnsi="Times New Roman"/>
                <w:sz w:val="24"/>
                <w:szCs w:val="24"/>
              </w:rPr>
              <w:t>---------------------------- oOo ----------------------------</w:t>
            </w:r>
          </w:p>
        </w:tc>
      </w:tr>
    </w:tbl>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CỘNG HÒA XÃ HỘI CHỦ NGHĨA VIỆT NAM</w:t>
      </w:r>
    </w:p>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Độc lập – Tự do – Hạnh phúc</w:t>
      </w:r>
    </w:p>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oOo ---</w:t>
      </w:r>
    </w:p>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HỢP ĐỒNG CUNG CẤP DỊCH VỤ</w:t>
      </w:r>
    </w:p>
    <w:p>
      <w:pPr>
        <w:pStyle w:val="normal1"/>
        <w:spacing w:lineRule="auto" w:line="240"/>
        <w:jc w:val="center"/>
        <w:rPr>
          <w:rFonts w:ascii="Times New Roman" w:hAnsi="Times New Roman" w:eastAsia="Times New Roman" w:cs="Times New Roman"/>
          <w:i/>
          <w:iCs/>
          <w:sz w:val="24"/>
          <w:szCs w:val="24"/>
        </w:rPr>
      </w:pPr>
      <w:r>
        <w:rPr>
          <w:rFonts w:eastAsia="Times New Roman" w:cs="Times New Roman" w:ascii="Times New Roman" w:hAnsi="Times New Roman"/>
          <w:i/>
          <w:iCs/>
          <w:sz w:val="24"/>
          <w:szCs w:val="24"/>
        </w:rPr>
        <w:t>Số: {contractNumber}</w:t>
      </w:r>
    </w:p>
    <w:p>
      <w:pPr>
        <w:pStyle w:val="normal1"/>
        <w:spacing w:lineRule="auto" w:line="276"/>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Căn cứ pháp luật</w:t>
      </w:r>
    </w:p>
    <w:p>
      <w:pPr>
        <w:pStyle w:val="normal1"/>
        <w:numPr>
          <w:ilvl w:val="0"/>
          <w:numId w:val="1"/>
        </w:numPr>
        <w:pBdr/>
        <w:spacing w:lineRule="auto" w:line="240" w:before="0" w:after="0"/>
        <w:ind w:hanging="360" w:start="360"/>
        <w:jc w:val="both"/>
        <w:rPr>
          <w:rFonts w:ascii="Times New Roman" w:hAnsi="Times New Roman" w:eastAsia="Times New Roman" w:cs="Times New Roman"/>
          <w:i/>
          <w:iCs/>
          <w:color w:val="000000"/>
          <w:sz w:val="24"/>
          <w:szCs w:val="24"/>
        </w:rPr>
      </w:pPr>
      <w:r>
        <w:rPr>
          <w:rFonts w:eastAsia="Times New Roman" w:cs="Times New Roman" w:ascii="Times New Roman" w:hAnsi="Times New Roman"/>
          <w:i/>
          <w:iCs/>
          <w:color w:val="000000"/>
          <w:sz w:val="24"/>
          <w:szCs w:val="24"/>
        </w:rPr>
        <w:t>Bộ Luật Dân Sự nước Cộng Hòa Xã Hội Chủ Nghĩa Việt Nam số 91/2015/QH13 ngày 24/11/2015;</w:t>
      </w:r>
    </w:p>
    <w:p>
      <w:pPr>
        <w:pStyle w:val="normal1"/>
        <w:numPr>
          <w:ilvl w:val="0"/>
          <w:numId w:val="1"/>
        </w:numPr>
        <w:pBdr/>
        <w:spacing w:lineRule="auto" w:line="240" w:before="0" w:after="0"/>
        <w:ind w:hanging="360" w:start="360"/>
        <w:jc w:val="both"/>
        <w:rPr>
          <w:rFonts w:ascii="Times New Roman" w:hAnsi="Times New Roman" w:eastAsia="Times New Roman" w:cs="Times New Roman"/>
          <w:i/>
          <w:iCs/>
          <w:color w:val="000000"/>
          <w:sz w:val="24"/>
          <w:szCs w:val="24"/>
        </w:rPr>
      </w:pPr>
      <w:r>
        <w:rPr>
          <w:rFonts w:eastAsia="Times New Roman" w:cs="Times New Roman" w:ascii="Times New Roman" w:hAnsi="Times New Roman"/>
          <w:i/>
          <w:iCs/>
          <w:color w:val="000000"/>
          <w:sz w:val="24"/>
          <w:szCs w:val="24"/>
        </w:rPr>
        <w:t>Luật Thương mại số 36/2005/QH11 được Quốc hội nước CHXHCN Việt Nam thông qua ngày 14/06/2005 có hiệu lực kể từ ngày 01/01/2006;</w:t>
      </w:r>
    </w:p>
    <w:p>
      <w:pPr>
        <w:pStyle w:val="normal1"/>
        <w:numPr>
          <w:ilvl w:val="0"/>
          <w:numId w:val="1"/>
        </w:numPr>
        <w:pBdr/>
        <w:spacing w:lineRule="auto" w:line="240" w:before="0" w:after="0"/>
        <w:ind w:hanging="360" w:start="360"/>
        <w:jc w:val="both"/>
        <w:rPr>
          <w:rFonts w:ascii="Times New Roman" w:hAnsi="Times New Roman" w:eastAsia="Times New Roman" w:cs="Times New Roman"/>
          <w:i/>
          <w:iCs/>
          <w:color w:val="000000"/>
          <w:sz w:val="24"/>
          <w:szCs w:val="24"/>
        </w:rPr>
      </w:pPr>
      <w:r>
        <w:rPr>
          <w:rFonts w:eastAsia="Times New Roman" w:cs="Times New Roman" w:ascii="Times New Roman" w:hAnsi="Times New Roman"/>
          <w:i/>
          <w:iCs/>
          <w:color w:val="000000"/>
          <w:sz w:val="24"/>
          <w:szCs w:val="24"/>
        </w:rPr>
        <w:t>Luật Quảng cáo số 16/2012/QH13 được Quốc hội nước CHXHCN Việt Nam thông qua ngày 21/6/2012 có hiệu lực kể từ ngày 01/01/2013;</w:t>
      </w:r>
    </w:p>
    <w:p>
      <w:pPr>
        <w:pStyle w:val="normal1"/>
        <w:numPr>
          <w:ilvl w:val="0"/>
          <w:numId w:val="1"/>
        </w:numPr>
        <w:pBdr/>
        <w:spacing w:lineRule="auto" w:line="240" w:before="0" w:after="0"/>
        <w:ind w:hanging="360" w:start="360"/>
        <w:jc w:val="both"/>
        <w:rPr>
          <w:rFonts w:ascii="Times New Roman" w:hAnsi="Times New Roman" w:eastAsia="Times New Roman" w:cs="Times New Roman"/>
          <w:i/>
          <w:iCs/>
          <w:color w:val="000000"/>
          <w:sz w:val="24"/>
          <w:szCs w:val="24"/>
        </w:rPr>
      </w:pPr>
      <w:r>
        <w:rPr>
          <w:rFonts w:eastAsia="Times New Roman" w:cs="Times New Roman" w:ascii="Times New Roman" w:hAnsi="Times New Roman"/>
          <w:i/>
          <w:iCs/>
          <w:color w:val="000000"/>
          <w:sz w:val="24"/>
          <w:szCs w:val="24"/>
        </w:rPr>
        <w:t>Căn cứ vào Luật Sở Hữu Trí Tuệ nước Cộng Hòa Xã Hội Chủ Nghĩa Việt Nam số 92/2015/QH13 ngày 27/11/2015 và Luật sửa đổi bổ sung một số điều của Luật Sở Hữu Trí Tuệ số 07/2022/QH15 ngày 16/06/2022;</w:t>
      </w:r>
    </w:p>
    <w:p>
      <w:pPr>
        <w:pStyle w:val="normal1"/>
        <w:numPr>
          <w:ilvl w:val="0"/>
          <w:numId w:val="1"/>
        </w:numPr>
        <w:pBdr/>
        <w:spacing w:lineRule="auto" w:line="240" w:before="0" w:after="0"/>
        <w:ind w:hanging="360" w:start="360"/>
        <w:jc w:val="both"/>
        <w:rPr>
          <w:rFonts w:ascii="Times New Roman" w:hAnsi="Times New Roman" w:eastAsia="Times New Roman" w:cs="Times New Roman"/>
          <w:i/>
          <w:iCs/>
          <w:color w:val="000000"/>
          <w:sz w:val="24"/>
          <w:szCs w:val="24"/>
        </w:rPr>
      </w:pPr>
      <w:r>
        <w:rPr>
          <w:rFonts w:eastAsia="Times New Roman" w:cs="Times New Roman" w:ascii="Times New Roman" w:hAnsi="Times New Roman"/>
          <w:i/>
          <w:iCs/>
          <w:color w:val="000000"/>
          <w:sz w:val="24"/>
          <w:szCs w:val="24"/>
        </w:rPr>
        <w:t>Các văn bản quy phạm pháp luật hướng dẫn thi hành các luật nói trên;</w:t>
      </w:r>
    </w:p>
    <w:p>
      <w:pPr>
        <w:pStyle w:val="normal1"/>
        <w:numPr>
          <w:ilvl w:val="0"/>
          <w:numId w:val="1"/>
        </w:numPr>
        <w:pBdr/>
        <w:spacing w:lineRule="auto" w:line="240"/>
        <w:ind w:hanging="360" w:start="360"/>
        <w:jc w:val="both"/>
        <w:rPr>
          <w:rFonts w:ascii="Times New Roman" w:hAnsi="Times New Roman" w:eastAsia="Times New Roman" w:cs="Times New Roman"/>
          <w:i/>
          <w:iCs/>
          <w:color w:val="000000"/>
          <w:sz w:val="24"/>
          <w:szCs w:val="24"/>
        </w:rPr>
      </w:pPr>
      <w:r>
        <w:rPr>
          <w:rFonts w:eastAsia="Times New Roman" w:cs="Times New Roman" w:ascii="Times New Roman" w:hAnsi="Times New Roman"/>
          <w:i/>
          <w:iCs/>
          <w:color w:val="000000"/>
          <w:sz w:val="24"/>
          <w:szCs w:val="24"/>
        </w:rPr>
        <w:t>Căn cứ vào nhu cầu thực tế của các bên;</w:t>
      </w:r>
    </w:p>
    <w:p>
      <w:pPr>
        <w:pStyle w:val="normal1"/>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Hôm nay, ngày…. tháng …. năm 2026 tại ……, Hợp Đồng Cung Cấp Ứng Dụng Phần Mềm (</w:t>
      </w:r>
      <w:r>
        <w:rPr>
          <w:rFonts w:eastAsia="Times New Roman" w:cs="Times New Roman" w:ascii="Times New Roman" w:hAnsi="Times New Roman"/>
          <w:i/>
          <w:iCs/>
          <w:sz w:val="24"/>
          <w:szCs w:val="24"/>
        </w:rPr>
        <w:t>gọi tắt là “</w:t>
      </w:r>
      <w:r>
        <w:rPr>
          <w:rFonts w:eastAsia="Times New Roman" w:cs="Times New Roman" w:ascii="Times New Roman" w:hAnsi="Times New Roman"/>
          <w:b/>
          <w:bCs/>
          <w:i/>
          <w:iCs/>
          <w:sz w:val="24"/>
          <w:szCs w:val="24"/>
        </w:rPr>
        <w:t>Hợp Đồng</w:t>
      </w:r>
      <w:r>
        <w:rPr>
          <w:rFonts w:eastAsia="Times New Roman" w:cs="Times New Roman" w:ascii="Times New Roman" w:hAnsi="Times New Roman"/>
          <w:i/>
          <w:iCs/>
          <w:sz w:val="24"/>
          <w:szCs w:val="24"/>
        </w:rPr>
        <w:t>”</w:t>
      </w:r>
      <w:r>
        <w:rPr>
          <w:rFonts w:eastAsia="Times New Roman" w:cs="Times New Roman" w:ascii="Times New Roman" w:hAnsi="Times New Roman"/>
          <w:sz w:val="24"/>
          <w:szCs w:val="24"/>
        </w:rPr>
        <w:t>) được lập và ký kết bởi và giữa:</w:t>
      </w:r>
    </w:p>
    <w:tbl>
      <w:tblPr>
        <w:tblStyle w:val="Table3"/>
        <w:tblW w:w="9360" w:type="dxa"/>
        <w:jc w:val="start"/>
        <w:tblInd w:w="0" w:type="dxa"/>
        <w:tblLayout w:type="fixed"/>
        <w:tblCellMar>
          <w:top w:w="0" w:type="dxa"/>
          <w:start w:w="108" w:type="dxa"/>
          <w:bottom w:w="0" w:type="dxa"/>
          <w:end w:w="108" w:type="dxa"/>
        </w:tblCellMar>
        <w:tblLook w:val="0400"/>
      </w:tblPr>
      <w:tblGrid>
        <w:gridCol w:w="1877"/>
        <w:gridCol w:w="297"/>
        <w:gridCol w:w="7186"/>
      </w:tblGrid>
      <w:tr>
        <w:trPr/>
        <w:tc>
          <w:tcPr>
            <w:tcW w:w="9360" w:type="dxa"/>
            <w:gridSpan w:val="3"/>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BÊN A: {client.entityName}</w:t>
            </w:r>
          </w:p>
        </w:tc>
      </w:tr>
      <w:tr>
        <w:trPr/>
        <w:tc>
          <w:tcPr>
            <w:tcW w:w="187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Địa chỉ</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6" w:type="dxa"/>
            <w:tcBorders/>
          </w:tcPr>
          <w:p>
            <w:pPr>
              <w:pStyle w:val="normal1"/>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6"/>
                <w:szCs w:val="26"/>
              </w:rPr>
              <w:t>{client.address}, Việt Nam</w:t>
            </w:r>
          </w:p>
        </w:tc>
      </w:tr>
      <w:tr>
        <w:trPr/>
        <w:tc>
          <w:tcPr>
            <w:tcW w:w="187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Mã số thuế</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6" w:type="dxa"/>
            <w:tcBorders/>
          </w:tcPr>
          <w:p>
            <w:pPr>
              <w:pStyle w:val="normal1"/>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{client.taxId}</w:t>
            </w:r>
          </w:p>
        </w:tc>
      </w:tr>
      <w:tr>
        <w:trPr/>
        <w:tc>
          <w:tcPr>
            <w:tcW w:w="187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Điện thoại</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6" w:type="dxa"/>
            <w:tcBorders/>
          </w:tcPr>
          <w:p>
            <w:pPr>
              <w:pStyle w:val="normal1"/>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6"/>
                <w:szCs w:val="26"/>
              </w:rPr>
              <w:t>{client.phone}</w:t>
            </w:r>
          </w:p>
        </w:tc>
      </w:tr>
      <w:tr>
        <w:trPr/>
        <w:tc>
          <w:tcPr>
            <w:tcW w:w="187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Người đại diện</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6" w:type="dxa"/>
            <w:tcBorders/>
          </w:tcPr>
          <w:p>
            <w:pPr>
              <w:pStyle w:val="normal1"/>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Ông {client.representative} – Chức vụ: {client.position}</w:t>
            </w:r>
          </w:p>
        </w:tc>
      </w:tr>
      <w:tr>
        <w:trPr/>
        <w:tc>
          <w:tcPr>
            <w:tcW w:w="187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Tài khoản số</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6" w:type="dxa"/>
            <w:tcBorders/>
          </w:tcPr>
          <w:p>
            <w:pPr>
              <w:pStyle w:val="normal1"/>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{client.bankAccount} tại Ngân hàng {client.bankName}</w:t>
            </w:r>
          </w:p>
        </w:tc>
      </w:tr>
    </w:tbl>
    <w:p>
      <w:pPr>
        <w:pStyle w:val="normal1"/>
        <w:spacing w:lineRule="auto" w:line="276"/>
        <w:jc w:val="both"/>
        <w:rPr>
          <w:rFonts w:ascii="Times New Roman" w:hAnsi="Times New Roman" w:eastAsia="Times New Roman" w:cs="Times New Roman"/>
          <w:i/>
          <w:iCs/>
          <w:sz w:val="24"/>
          <w:szCs w:val="24"/>
        </w:rPr>
      </w:pPr>
      <w:r>
        <w:rPr>
          <w:rFonts w:eastAsia="Times New Roman" w:cs="Times New Roman" w:ascii="Times New Roman" w:hAnsi="Times New Roman"/>
          <w:i/>
          <w:iCs/>
          <w:sz w:val="24"/>
          <w:szCs w:val="24"/>
        </w:rPr>
        <w:t>Sau đây được gọi là “</w:t>
      </w:r>
      <w:r>
        <w:rPr>
          <w:rFonts w:eastAsia="Times New Roman" w:cs="Times New Roman" w:ascii="Times New Roman" w:hAnsi="Times New Roman"/>
          <w:b/>
          <w:bCs/>
          <w:i/>
          <w:iCs/>
          <w:sz w:val="24"/>
          <w:szCs w:val="24"/>
        </w:rPr>
        <w:t>Bên Sử Dụng</w:t>
      </w:r>
      <w:r>
        <w:rPr>
          <w:rFonts w:eastAsia="Times New Roman" w:cs="Times New Roman" w:ascii="Times New Roman" w:hAnsi="Times New Roman"/>
          <w:i/>
          <w:iCs/>
          <w:sz w:val="24"/>
          <w:szCs w:val="24"/>
        </w:rPr>
        <w:t>” hoặc “</w:t>
      </w:r>
      <w:r>
        <w:rPr>
          <w:rFonts w:eastAsia="Times New Roman" w:cs="Times New Roman" w:ascii="Times New Roman" w:hAnsi="Times New Roman"/>
          <w:b/>
          <w:bCs/>
          <w:i/>
          <w:iCs/>
          <w:sz w:val="24"/>
          <w:szCs w:val="24"/>
        </w:rPr>
        <w:t>Đơn Vị Tổ Chức</w:t>
      </w:r>
      <w:r>
        <w:rPr>
          <w:rFonts w:eastAsia="Times New Roman" w:cs="Times New Roman" w:ascii="Times New Roman" w:hAnsi="Times New Roman"/>
          <w:i/>
          <w:iCs/>
          <w:sz w:val="24"/>
          <w:szCs w:val="24"/>
        </w:rPr>
        <w:t>”.</w:t>
      </w:r>
    </w:p>
    <w:p>
      <w:pPr>
        <w:pStyle w:val="normal1"/>
        <w:spacing w:lineRule="auto" w:line="276"/>
        <w:jc w:val="both"/>
        <w:rPr>
          <w:rFonts w:ascii="Times New Roman" w:hAnsi="Times New Roman" w:eastAsia="Times New Roman" w:cs="Times New Roman"/>
          <w:i/>
          <w:iCs/>
          <w:sz w:val="24"/>
          <w:szCs w:val="24"/>
        </w:rPr>
      </w:pPr>
      <w:r>
        <w:rPr>
          <w:rFonts w:eastAsia="Times New Roman" w:cs="Times New Roman" w:ascii="Times New Roman" w:hAnsi="Times New Roman"/>
          <w:sz w:val="24"/>
          <w:szCs w:val="24"/>
        </w:rPr>
        <w:t>Và</w:t>
      </w:r>
    </w:p>
    <w:tbl>
      <w:tblPr>
        <w:tblStyle w:val="Table4"/>
        <w:tblW w:w="9360" w:type="dxa"/>
        <w:jc w:val="start"/>
        <w:tblInd w:w="0" w:type="dxa"/>
        <w:tblLayout w:type="fixed"/>
        <w:tblCellMar>
          <w:top w:w="0" w:type="dxa"/>
          <w:start w:w="108" w:type="dxa"/>
          <w:bottom w:w="0" w:type="dxa"/>
          <w:end w:w="108" w:type="dxa"/>
        </w:tblCellMar>
        <w:tblLook w:val="0400"/>
      </w:tblPr>
      <w:tblGrid>
        <w:gridCol w:w="1876"/>
        <w:gridCol w:w="297"/>
        <w:gridCol w:w="7187"/>
      </w:tblGrid>
      <w:tr>
        <w:trPr/>
        <w:tc>
          <w:tcPr>
            <w:tcW w:w="9360" w:type="dxa"/>
            <w:gridSpan w:val="3"/>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BÊN B: {provider.entityName}</w:t>
            </w:r>
          </w:p>
        </w:tc>
      </w:tr>
      <w:tr>
        <w:trPr/>
        <w:tc>
          <w:tcPr>
            <w:tcW w:w="1876"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Địa chỉ</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{provider.address}, TP Hà Nội, Việt Nam</w:t>
            </w:r>
          </w:p>
        </w:tc>
      </w:tr>
      <w:tr>
        <w:trPr/>
        <w:tc>
          <w:tcPr>
            <w:tcW w:w="1876"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Mã số thuế</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{provider.taxId}</w:t>
            </w:r>
          </w:p>
        </w:tc>
      </w:tr>
      <w:tr>
        <w:trPr/>
        <w:tc>
          <w:tcPr>
            <w:tcW w:w="1876"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Điện thoại</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{provider.phone}</w:t>
            </w:r>
          </w:p>
        </w:tc>
      </w:tr>
      <w:tr>
        <w:trPr/>
        <w:tc>
          <w:tcPr>
            <w:tcW w:w="1876"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Người đại diện</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7" w:type="dxa"/>
            <w:tcBorders/>
          </w:tcPr>
          <w:p>
            <w:pPr>
              <w:pStyle w:val="normal1"/>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Ông </w:t>
            </w:r>
            <w:r>
              <w:rPr>
                <w:rFonts w:eastAsia="Times New Roman" w:cs="Times New Roman" w:ascii="Times New Roman" w:hAnsi="Times New Roman"/>
                <w:b/>
                <w:bCs/>
                <w:sz w:val="24"/>
                <w:szCs w:val="24"/>
              </w:rPr>
              <w:t>{provider.representative}</w:t>
            </w:r>
            <w:r>
              <w:rPr>
                <w:rFonts w:eastAsia="Times New Roman" w:cs="Times New Roman" w:ascii="Times New Roman" w:hAnsi="Times New Roman"/>
                <w:sz w:val="24"/>
                <w:szCs w:val="24"/>
              </w:rPr>
              <w:t xml:space="preserve"> – Chức vụ: </w:t>
            </w:r>
            <w:r>
              <w:rPr>
                <w:rFonts w:eastAsia="Times New Roman" w:cs="Times New Roman" w:ascii="Times New Roman" w:hAnsi="Times New Roman"/>
                <w:b/>
                <w:bCs/>
                <w:sz w:val="24"/>
                <w:szCs w:val="24"/>
              </w:rPr>
              <w:t>{provider.position}</w:t>
            </w:r>
          </w:p>
        </w:tc>
      </w:tr>
      <w:tr>
        <w:trPr/>
        <w:tc>
          <w:tcPr>
            <w:tcW w:w="1876"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sz w:val="24"/>
                <w:szCs w:val="24"/>
              </w:rPr>
              <w:t>Tài khoản số</w:t>
            </w:r>
          </w:p>
        </w:tc>
        <w:tc>
          <w:tcPr>
            <w:tcW w:w="297" w:type="dxa"/>
            <w:tcBorders/>
          </w:tcPr>
          <w:p>
            <w:pPr>
              <w:pStyle w:val="normal1"/>
              <w:spacing w:before="0" w:after="1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tc>
        <w:tc>
          <w:tcPr>
            <w:tcW w:w="7187" w:type="dxa"/>
            <w:tcBorders/>
          </w:tcPr>
          <w:p>
            <w:pPr>
              <w:pStyle w:val="normal1"/>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110398986 tại Ngân hàng TMCP Quân Đội (MB) – Chi nhánh Thụy Khuê – Chủ tài khoản: CONG TY CO PHAN 5BIB</w:t>
              <w:tab/>
            </w:r>
          </w:p>
        </w:tc>
      </w:tr>
    </w:tbl>
    <w:p>
      <w:pPr>
        <w:pStyle w:val="normal1"/>
        <w:spacing w:lineRule="auto" w:line="276"/>
        <w:jc w:val="both"/>
        <w:rPr>
          <w:rFonts w:ascii="Times New Roman" w:hAnsi="Times New Roman" w:eastAsia="Times New Roman" w:cs="Times New Roman"/>
          <w:i/>
          <w:iCs/>
          <w:sz w:val="24"/>
          <w:szCs w:val="24"/>
        </w:rPr>
      </w:pPr>
      <w:r>
        <w:rPr>
          <w:rFonts w:eastAsia="Times New Roman" w:cs="Times New Roman" w:ascii="Times New Roman" w:hAnsi="Times New Roman"/>
          <w:i/>
          <w:iCs/>
          <w:sz w:val="24"/>
          <w:szCs w:val="24"/>
        </w:rPr>
        <w:t>Sau đây gọi là “</w:t>
      </w:r>
      <w:r>
        <w:rPr>
          <w:rFonts w:eastAsia="Times New Roman" w:cs="Times New Roman" w:ascii="Times New Roman" w:hAnsi="Times New Roman"/>
          <w:b/>
          <w:bCs/>
          <w:i/>
          <w:iCs/>
          <w:sz w:val="24"/>
          <w:szCs w:val="24"/>
        </w:rPr>
        <w:t>Nhà Cung Cấp</w:t>
      </w:r>
      <w:r>
        <w:rPr>
          <w:rFonts w:eastAsia="Times New Roman" w:cs="Times New Roman" w:ascii="Times New Roman" w:hAnsi="Times New Roman"/>
          <w:i/>
          <w:iCs/>
          <w:sz w:val="24"/>
          <w:szCs w:val="24"/>
        </w:rPr>
        <w:t>” hoặc “</w:t>
      </w:r>
      <w:r>
        <w:rPr>
          <w:rFonts w:eastAsia="Times New Roman" w:cs="Times New Roman" w:ascii="Times New Roman" w:hAnsi="Times New Roman"/>
          <w:b/>
          <w:bCs/>
          <w:i/>
          <w:iCs/>
          <w:sz w:val="24"/>
          <w:szCs w:val="24"/>
        </w:rPr>
        <w:t>Bên Cung Cấp</w:t>
      </w:r>
      <w:r>
        <w:rPr>
          <w:rFonts w:eastAsia="Times New Roman" w:cs="Times New Roman" w:ascii="Times New Roman" w:hAnsi="Times New Roman"/>
          <w:i/>
          <w:iCs/>
          <w:sz w:val="24"/>
          <w:szCs w:val="24"/>
        </w:rPr>
        <w:t>”.</w:t>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Tùy từng ngữ cảnh cụ thể, Bên Cung Cấp và Bên Sử Dụng sau đây được gọi chung là “</w:t>
      </w:r>
      <w:r>
        <w:rPr>
          <w:rFonts w:eastAsia="Times New Roman" w:cs="Times New Roman" w:ascii="Times New Roman" w:hAnsi="Times New Roman"/>
          <w:b/>
          <w:bCs/>
          <w:sz w:val="24"/>
          <w:szCs w:val="24"/>
        </w:rPr>
        <w:t>Các Bên</w:t>
      </w:r>
      <w:r>
        <w:rPr>
          <w:rFonts w:eastAsia="Times New Roman" w:cs="Times New Roman" w:ascii="Times New Roman" w:hAnsi="Times New Roman"/>
          <w:sz w:val="24"/>
          <w:szCs w:val="24"/>
        </w:rPr>
        <w:t>” hoặc “</w:t>
      </w:r>
      <w:r>
        <w:rPr>
          <w:rFonts w:eastAsia="Times New Roman" w:cs="Times New Roman" w:ascii="Times New Roman" w:hAnsi="Times New Roman"/>
          <w:b/>
          <w:bCs/>
          <w:sz w:val="24"/>
          <w:szCs w:val="24"/>
        </w:rPr>
        <w:t>Hai Bên</w:t>
      </w:r>
      <w:r>
        <w:rPr>
          <w:rFonts w:eastAsia="Times New Roman" w:cs="Times New Roman" w:ascii="Times New Roman" w:hAnsi="Times New Roman"/>
          <w:sz w:val="24"/>
          <w:szCs w:val="24"/>
        </w:rPr>
        <w:t>” và được gọi riêng là “</w:t>
      </w:r>
      <w:r>
        <w:rPr>
          <w:rFonts w:eastAsia="Times New Roman" w:cs="Times New Roman" w:ascii="Times New Roman" w:hAnsi="Times New Roman"/>
          <w:b/>
          <w:bCs/>
          <w:sz w:val="24"/>
          <w:szCs w:val="24"/>
        </w:rPr>
        <w:t>Bên</w:t>
      </w:r>
      <w:r>
        <w:rPr>
          <w:rFonts w:eastAsia="Times New Roman" w:cs="Times New Roman" w:ascii="Times New Roman" w:hAnsi="Times New Roman"/>
          <w:sz w:val="24"/>
          <w:szCs w:val="24"/>
        </w:rPr>
        <w:t>”.</w:t>
      </w:r>
    </w:p>
    <w:p>
      <w:pPr>
        <w:pStyle w:val="normal1"/>
        <w:spacing w:lineRule="auto" w:line="276"/>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XÉT RẰNG:</w:t>
      </w:r>
    </w:p>
    <w:p>
      <w:pPr>
        <w:pStyle w:val="normal1"/>
        <w:keepNext w:val="false"/>
        <w:keepLines w:val="false"/>
        <w:pageBreakBefore w:val="false"/>
        <w:widowControl/>
        <w:numPr>
          <w:ilvl w:val="0"/>
          <w:numId w:val="5"/>
        </w:numPr>
        <w:pBdr/>
        <w:shd w:val="clear" w:fill="auto"/>
        <w:spacing w:lineRule="auto" w:line="276" w:before="0" w:after="0"/>
        <w:ind w:hanging="360" w:start="36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là đơn vị được Ban Tổ Chức giải chạy ủy quyền phối hợp làm việc với các đơn vị liên quan tới việc tổ chức bán vé và tổ chức sự kiện, có nhu cầu hợp tác sử dụng ứng dụng phần mềm của Bên B để phân phối vé tham gia giải chạy “</w:t>
      </w:r>
      <w:r>
        <w:rPr>
          <w:rFonts w:eastAsia="Times New Roman" w:cs="Times New Roman" w:ascii="Times New Roman" w:hAnsi="Times New Roman"/>
          <w:b/>
          <w:bCs/>
          <w:sz w:val="24"/>
          <w:szCs w:val="24"/>
        </w:rPr>
        <w:t>Giải chạy {raceName}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5"/>
        </w:numPr>
        <w:pBdr/>
        <w:shd w:val="clear" w:fill="auto"/>
        <w:spacing w:lineRule="auto" w:line="276" w:before="0" w:after="160"/>
        <w:ind w:hanging="360" w:start="36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B là doanh nghiệp được thành lập và hoạt động hợp pháp tại Việt Nam, là đơn vị sở hữu và điều hành hệ thống bán vé trực tuyến được cấp phép ở Việt Nam, cung cấp cổng thông tin vé và dịch vụ bao gồm bán vé sự kiện hoặc vé xem thể thao thay mặt nhà tổ chức và nhà quảng bá chương trình sự kiện/sự kiện thể thao thông qua mạng lưới phân phối trực tuyến;</w:t>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VÌ VẬY, Hai Bên cùng tự nguyện, thống nhất ký kết Hợp Đồng này và cam kết thực hiện đúng các điều khoản sau:</w:t>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ĐỐI TƯỢNG VÀ PHẠM VI HỢP ĐỒNG</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là Đơn vị được Ban Tổ chức sự kiện ủy quyền làm việc;</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B: là đơn vị cung cấp dịch vụ lập trình, nền tảng công nghệ, cơ sở dữ liệu để tổ chức và thực hiện việc phân phối vé cho Bên A;</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đồng ý cho Bên B bằng nền tảng công nghệ của mình, mở cổng đăng ký dưới dạng phân phối vé điện tử cho người dùng tham gia sự kiện;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Loại hình hợp tác:  </w:t>
      </w:r>
      <w:r>
        <w:rPr>
          <w:rFonts w:eastAsia="MS Gothic" w:cs="MS Gothic" w:ascii="MS Gothic" w:hAnsi="MS Gothic"/>
          <w:b w:val="false"/>
          <w:bCs w:val="false"/>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Độc Quyền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Loại dịch vụ bán:   </w:t>
      </w:r>
      <w:r>
        <w:rPr>
          <w:rFonts w:eastAsia="MS Gothic" w:cs="MS Gothic" w:ascii="MS Gothic" w:hAnsi="MS Gothic"/>
          <w:b w:val="false"/>
          <w:bCs w:val="false"/>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Thường</w:t>
        <w:tab/>
        <w:t xml:space="preserve">   </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Tiền bán vé: là khoản tiền được người dùng thanh toán khi mua vé qua website của Bên B.</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Giá vé: </w:t>
      </w:r>
    </w:p>
    <w:p>
      <w:pPr>
        <w:pStyle w:val="normal1"/>
        <w:keepNext w:val="false"/>
        <w:keepLines w:val="false"/>
        <w:pageBreakBefore w:val="false"/>
        <w:widowControl/>
        <w:numPr>
          <w:ilvl w:val="3"/>
          <w:numId w:val="6"/>
        </w:numPr>
        <w:pBdr/>
        <w:shd w:val="clear" w:fill="auto"/>
        <w:spacing w:lineRule="auto" w:line="276" w:before="0" w:after="0"/>
        <w:ind w:hanging="360" w:start="144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Thông tin chi tiết giá vé sẽ được công bố trên website 5bib.com;</w:t>
      </w:r>
    </w:p>
    <w:p>
      <w:pPr>
        <w:pStyle w:val="normal1"/>
        <w:keepNext w:val="false"/>
        <w:keepLines w:val="false"/>
        <w:pageBreakBefore w:val="false"/>
        <w:widowControl/>
        <w:numPr>
          <w:ilvl w:val="3"/>
          <w:numId w:val="6"/>
        </w:numPr>
        <w:pBdr/>
        <w:shd w:val="clear" w:fill="auto"/>
        <w:spacing w:lineRule="auto" w:line="276" w:before="0" w:after="0"/>
        <w:ind w:hanging="360" w:start="144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Giá vé khuyến mãi là giá được giảm trên giá gốc tại thời điểm đăng ký đối với các vé mua theo nhóm hoặc có mã giảm giá và theo quy định của Bên A;</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Phí dịch vụ: </w:t>
      </w:r>
    </w:p>
    <w:p>
      <w:pPr>
        <w:pStyle w:val="normal1"/>
        <w:keepNext w:val="false"/>
        <w:keepLines w:val="false"/>
        <w:pageBreakBefore w:val="false"/>
        <w:widowControl/>
        <w:numPr>
          <w:ilvl w:val="0"/>
          <w:numId w:val="7"/>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Phí lập trình mở cổng bán vé (gọi là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Phí bán vé</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6%</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trên tổng doanh thu mà người dùng thanh toán qua website của Bên B (nếu có). Doanh thu này được gọi là “Khoản Bán Vé”</w:t>
      </w:r>
    </w:p>
    <w:p>
      <w:pPr>
        <w:pStyle w:val="normal1"/>
        <w:keepNext w:val="false"/>
        <w:keepLines w:val="false"/>
        <w:pageBreakBefore w:val="false"/>
        <w:widowControl/>
        <w:numPr>
          <w:ilvl w:val="0"/>
          <w:numId w:val="7"/>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Phí quản lý vận động viên (gọi là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Phí quản lý</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7.000 VND</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trên lượt vận động viên mà ban tổ chức tạo ra trên hệ thống không phát sinh giao dịch qua website. Doanh thu này được gọi là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Khoản quản lý</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7"/>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B hỗ trợ  vé có mã giảm giá 100%.</w:t>
      </w:r>
    </w:p>
    <w:p>
      <w:pPr>
        <w:pStyle w:val="normal1"/>
        <w:keepNext w:val="false"/>
        <w:keepLines w:val="false"/>
        <w:pageBreakBefore w:val="false"/>
        <w:widowControl/>
        <w:numPr>
          <w:ilvl w:val="0"/>
          <w:numId w:val="7"/>
        </w:numPr>
        <w:pBdr/>
        <w:shd w:val="clear" w:fill="auto"/>
        <w:spacing w:lineRule="auto" w:line="276" w:before="0" w:after="16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Các loại phí dịch vụ trên sẽ được bên A thanh toán cho Bên B bằng cách cấn trừ vào Khoản Bán Vé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bao gồm tiền từ thiện nếu có</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hoặc chuyển khoản vào tài khoản của Bên B nếu Khoản Bán Vé không đủ thanh toán.</w:t>
      </w:r>
    </w:p>
    <w:p>
      <w:pPr>
        <w:pStyle w:val="normal1"/>
        <w:spacing w:lineRule="auto" w:line="276"/>
        <w:ind w:hanging="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Thuế GTGT: Phí dịch vụ trên đã bao gồm thuế VAT và đã bao gồm các loại thuế khác (</w:t>
      </w:r>
      <w:r>
        <w:rPr>
          <w:rFonts w:eastAsia="Times New Roman" w:cs="Times New Roman" w:ascii="Times New Roman" w:hAnsi="Times New Roman"/>
          <w:i/>
          <w:iCs/>
          <w:sz w:val="24"/>
          <w:szCs w:val="24"/>
        </w:rPr>
        <w:t>nếu có</w:t>
      </w:r>
      <w:r>
        <w:rPr>
          <w:rFonts w:eastAsia="Times New Roman" w:cs="Times New Roman" w:ascii="Times New Roman" w:hAnsi="Times New Roman"/>
          <w:sz w:val="24"/>
          <w:szCs w:val="24"/>
        </w:rPr>
        <w:t>) theo pháp luật Việt Nam.</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Thời hạn hợp đồng: từ ngày ký đến khi sự kiện kết thúc và các bên đã hoàn thành xong tất cả nghĩa vụ của mình.</w:t>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THÔNG TIN SỰ KIỆN:</w:t>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Bên A đồng ý cho Bên B mở cổng đăng ký tham gia sự kiện dưới dạng vé điện tử với chi tiết cụ thể như bên dưới:</w:t>
      </w:r>
    </w:p>
    <w:p>
      <w:pPr>
        <w:pStyle w:val="normal1"/>
        <w:keepNext w:val="false"/>
        <w:keepLines w:val="false"/>
        <w:pageBreakBefore w:val="false"/>
        <w:widowControl/>
        <w:numPr>
          <w:ilvl w:val="0"/>
          <w:numId w:val="9"/>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Thông tin sự kiện: </w:t>
      </w:r>
    </w:p>
    <w:p>
      <w:pPr>
        <w:pStyle w:val="normal1"/>
        <w:keepNext w:val="false"/>
        <w:keepLines w:val="false"/>
        <w:pageBreakBefore w:val="false"/>
        <w:widowControl/>
        <w:numPr>
          <w:ilvl w:val="1"/>
          <w:numId w:val="8"/>
        </w:numPr>
        <w:pBdr/>
        <w:shd w:val="clear" w:fill="auto"/>
        <w:spacing w:lineRule="auto" w:line="276" w:before="0" w:after="0"/>
        <w:ind w:hanging="360" w:start="108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Tên sự kiện:  </w:t>
      </w:r>
    </w:p>
    <w:p>
      <w:pPr>
        <w:pStyle w:val="normal1"/>
        <w:keepNext w:val="false"/>
        <w:keepLines w:val="false"/>
        <w:pageBreakBefore w:val="false"/>
        <w:widowControl/>
        <w:numPr>
          <w:ilvl w:val="1"/>
          <w:numId w:val="8"/>
        </w:numPr>
        <w:pBdr/>
        <w:shd w:val="clear" w:fill="auto"/>
        <w:spacing w:lineRule="auto" w:line="276" w:before="0" w:after="0"/>
        <w:ind w:hanging="360" w:start="108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Thời gian diễn ra sự kiện: </w:t>
      </w:r>
    </w:p>
    <w:p>
      <w:pPr>
        <w:pStyle w:val="normal1"/>
        <w:keepNext w:val="false"/>
        <w:keepLines w:val="false"/>
        <w:pageBreakBefore w:val="false"/>
        <w:widowControl/>
        <w:numPr>
          <w:ilvl w:val="1"/>
          <w:numId w:val="8"/>
        </w:numPr>
        <w:pBdr/>
        <w:shd w:val="clear" w:fill="auto"/>
        <w:spacing w:lineRule="auto" w:line="276" w:before="0" w:after="0"/>
        <w:ind w:hanging="360" w:start="108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Thời gian đăng ký: </w:t>
      </w:r>
    </w:p>
    <w:p>
      <w:pPr>
        <w:pStyle w:val="normal1"/>
        <w:keepNext w:val="false"/>
        <w:keepLines w:val="false"/>
        <w:pageBreakBefore w:val="false"/>
        <w:widowControl/>
        <w:numPr>
          <w:ilvl w:val="0"/>
          <w:numId w:val="9"/>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Thông tin về vé của sự kiện: </w:t>
      </w:r>
    </w:p>
    <w:p>
      <w:pPr>
        <w:pStyle w:val="normal1"/>
        <w:keepNext w:val="false"/>
        <w:keepLines w:val="false"/>
        <w:pageBreakBefore w:val="false"/>
        <w:widowControl/>
        <w:numPr>
          <w:ilvl w:val="0"/>
          <w:numId w:val="2"/>
        </w:numPr>
        <w:pBdr/>
        <w:shd w:val="clear" w:fill="auto"/>
        <w:spacing w:lineRule="auto" w:line="276" w:before="0" w:after="0"/>
        <w:ind w:hanging="450" w:start="117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Loại vé: Vé điện tử </w:t>
      </w:r>
    </w:p>
    <w:p>
      <w:pPr>
        <w:pStyle w:val="normal1"/>
        <w:keepNext w:val="false"/>
        <w:keepLines w:val="false"/>
        <w:pageBreakBefore w:val="false"/>
        <w:widowControl/>
        <w:numPr>
          <w:ilvl w:val="0"/>
          <w:numId w:val="2"/>
        </w:numPr>
        <w:pBdr/>
        <w:shd w:val="clear" w:fill="auto"/>
        <w:spacing w:lineRule="auto" w:line="276" w:before="0" w:after="0"/>
        <w:ind w:hanging="450" w:start="117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B cung ứng Vé điện tử đến Khách Hàng</w:t>
      </w:r>
    </w:p>
    <w:p>
      <w:pPr>
        <w:pStyle w:val="normal1"/>
        <w:keepNext w:val="false"/>
        <w:keepLines w:val="false"/>
        <w:pageBreakBefore w:val="false"/>
        <w:widowControl/>
        <w:numPr>
          <w:ilvl w:val="0"/>
          <w:numId w:val="2"/>
        </w:numPr>
        <w:pBdr/>
        <w:shd w:val="clear" w:fill="auto"/>
        <w:spacing w:lineRule="auto" w:line="276" w:before="0" w:after="0"/>
        <w:ind w:hanging="450" w:start="117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Bên A chấp nhận vé này có giá trị tham gia, tham dự Sự Kiện </w:t>
      </w:r>
    </w:p>
    <w:p>
      <w:pPr>
        <w:pStyle w:val="normal1"/>
        <w:keepNext w:val="false"/>
        <w:keepLines w:val="false"/>
        <w:pageBreakBefore w:val="false"/>
        <w:widowControl/>
        <w:numPr>
          <w:ilvl w:val="0"/>
          <w:numId w:val="9"/>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Hạn sử dụng: Vé có giá trị sử dụng trong thời gian diễn ra sự kiện.</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GIẤY PHÉP VÀ SỞ HỮU TRÍ TUỆ</w:t>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Bên A cam kết và đảm bảo rằng:</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Sự Kiện được tổ chức và các tổ chức, cá nhân tham gia, tham dự Sự Kiện sẽ tuân thủ đầy đủ các quy định của pháp luật Việt Nam, không bao gồm bất kỳ nội dung, hành động nào có khuynh hướng tôn giáo, chính trị, kỳ thị dân tộc, phỉ báng, bôi nhọ, phản động bất kể là trực tiếp hay gián tiếp.</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Sự Kiện đã hoặc sẽ có đầy đủ tất cả các Giấy phép, cho phép và/hoặc phê duyệt cần thiết từ Cơ quan Nhà nước có thẩm quyền đối với việc tổ chức và mọi hoạt động sẽ diễn ra trong Sự Kiện theo đúng quy định pháp luật.</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Mọi hoạt động được tổ chức trong Sự Kiện sẽ tuân thủ theo đúng nội dung của Giấy phép đã được cấp và/hoặc nội dung được Cơ quan Nhà nước có thẩm quyền phê duyệt.</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Đối với các tư liệu quảng cáo và/hoặc các tài liệu được Bên A cung cấp cho Bên B nhằm hỗ trợ việc phân phối Vé, Bên A cam kết và đảm bảo rằng, Bên A có đầy đủ Quyền Sở Hữu Trí Tuệ hoặc được cấp phép đầy đủ và hợp pháp từ chủ sở hữu đối với các tư liệu, tài liệu này và Bên A đồng ý cấp cho Bên B quyền lưu trữ, sử dụng, phân phối, sửa đổi (chỉ nhằm mục đích kỹ thuật sao cho các tư liệu, tài liệu này đáp ứng các tiêu chuẩn của Bên B) các tư liệu, tài liệu này để phục vụ việc phân phối Vé.</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đã có thỏa thuận và chi trả mọi chi phí liên quan đến quyền tác giả và quyền liên quan đối với các ca khúc, nhạc phẩm, bản ghi âm, ghi hình được sử dụng trong Sự Kiện (nếu có).</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Trường hợp có bất kỳ khiếu nại, khiếu kiện nào liên quan đến Quyền Sở Hữu Trí Tuệ của bất kỳ tư liệu, tài liệu nào do Bên A cung cấp, Bên A cam kết và đảm bảo rằng, Bên A sẽ tự mình và bằng chi phí của chính mình để tiếp nhận, giải quyết và đảm bảo Bên B sẽ không phải chịu bất kỳ trách nhiệm hay thiệt hại nào có liên quan. Trong trường hợp này, Bên B có quyền ngay lập tức tạm ngưng sử dụng các tư liệu, tài liệu bị khiếu nại về Quyền Sở Hữu Trí Tuệ, tháo gỡ khỏi website của Bên B và Bên B sẽ không phải chịu trách nhiệm về bất kỳ sự sụt giảm doanh số phân phối Vé nào của Bên A </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Trường hợp Bên A không đảm bảo được hoặc vi phạm bất kỳ hay toàn bộ các yêu cầu nêu trên, Bên B có quyền </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Tạm ngưng việc phân phối Vé của Bên A mà không phải chịu bất kỳ khoản phạt nào hay bồi thường bất kỳ khoản tiền nào cho Bên A, </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Tạm giữ Khoản doanh thu bán vé chưa hoàn trả mà không phải trả lãi cho đến khi các yêu cầu nêu trên được đáp ứng hoặc Bên A tuyên bố hủy Sự Kiện và thực hiện đầy đủ các nghĩa vụ của Bên A khi hủy Sự Kiện theo quy định tại Hợp đồng này đến Khách Hàng. Trừ trường hợp các Bên có thoả thuận khác.</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Ngoài ra, các Bên đồng ý và công nhận rằng, các Quyền Sở Hữu Trí Tuệ được tạo lập, phát triển bởi và/hoặc bằng chi phí của Bên nào sẽ thuộc Quyền Sở Hữu Trí Tuệ của Bên đó. Việc hợp tác theo quy định của Hợp đồng này sẽ không mặc nhiên tạo ra hoặc mang tới cho Bên còn lại bất kỳ các quyền nào đối với Quyền Sở Hữu Trí Tuệ của Bên sở hữu.</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Trong khi Hợp đồng được thực hiện và sau khi Hợp đồng kết thúc, mỗi Bên không được chiếm hữu bất kỳ tài sản trí tuệ nào hoặc các quyền khác đối với bất kỳ nhãn hiệu thương mại, tên thương mại, logo, biểu tượng hoặc vật phẩm nào của mỗi bên.</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HOÃN, HỦY SỰ KIỆN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Chính sách hoàn hủy vé/thay đổi cự ly/chuyển nhượng:</w:t>
      </w:r>
    </w:p>
    <w:p>
      <w:pPr>
        <w:pStyle w:val="normal1"/>
        <w:keepNext w:val="false"/>
        <w:keepLines w:val="false"/>
        <w:pageBreakBefore w:val="false"/>
        <w:widowControl/>
        <w:numPr>
          <w:ilvl w:val="2"/>
          <w:numId w:val="6"/>
        </w:numPr>
        <w:pBdr/>
        <w:shd w:val="clear" w:fill="auto"/>
        <w:spacing w:lineRule="auto" w:line="276" w:before="0" w:after="0"/>
        <w:ind w:hanging="810" w:start="81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Hủy đăng ký</w:t>
        <w:tab/>
        <w:t xml:space="preserve">: </w:t>
      </w:r>
    </w:p>
    <w:p>
      <w:pPr>
        <w:pStyle w:val="normal1"/>
        <w:keepNext w:val="false"/>
        <w:keepLines w:val="false"/>
        <w:pageBreakBefore w:val="false"/>
        <w:widowControl/>
        <w:numPr>
          <w:ilvl w:val="2"/>
          <w:numId w:val="6"/>
        </w:numPr>
        <w:pBdr/>
        <w:shd w:val="clear" w:fill="auto"/>
        <w:spacing w:lineRule="auto" w:line="276" w:before="0" w:after="0"/>
        <w:ind w:hanging="810" w:start="81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Chuyển nhượng: </w:t>
      </w:r>
    </w:p>
    <w:p>
      <w:pPr>
        <w:pStyle w:val="normal1"/>
        <w:keepNext w:val="false"/>
        <w:keepLines w:val="false"/>
        <w:pageBreakBefore w:val="false"/>
        <w:widowControl/>
        <w:numPr>
          <w:ilvl w:val="2"/>
          <w:numId w:val="6"/>
        </w:numPr>
        <w:pBdr/>
        <w:shd w:val="clear" w:fill="auto"/>
        <w:spacing w:lineRule="auto" w:line="276" w:before="0" w:after="0"/>
        <w:ind w:hanging="810" w:start="81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Hạ cự ly: </w:t>
      </w:r>
    </w:p>
    <w:p>
      <w:pPr>
        <w:pStyle w:val="normal1"/>
        <w:keepNext w:val="false"/>
        <w:keepLines w:val="false"/>
        <w:pageBreakBefore w:val="false"/>
        <w:widowControl/>
        <w:numPr>
          <w:ilvl w:val="2"/>
          <w:numId w:val="6"/>
        </w:numPr>
        <w:pBdr/>
        <w:shd w:val="clear" w:fill="auto"/>
        <w:spacing w:lineRule="auto" w:line="276" w:before="0" w:after="0"/>
        <w:ind w:hanging="810" w:start="81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Tăng cự ly:</w:t>
      </w:r>
    </w:p>
    <w:p>
      <w:pPr>
        <w:pStyle w:val="normal1"/>
        <w:keepNext w:val="false"/>
        <w:keepLines w:val="false"/>
        <w:pageBreakBefore w:val="false"/>
        <w:widowControl/>
        <w:numPr>
          <w:ilvl w:val="2"/>
          <w:numId w:val="6"/>
        </w:numPr>
        <w:pBdr/>
        <w:shd w:val="clear" w:fill="auto"/>
        <w:spacing w:lineRule="auto" w:line="276" w:before="0" w:after="0"/>
        <w:ind w:hanging="810" w:start="81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Thời hạn đổi size áo:</w:t>
      </w:r>
    </w:p>
    <w:p>
      <w:pPr>
        <w:pStyle w:val="normal1"/>
        <w:keepNext w:val="false"/>
        <w:keepLines w:val="false"/>
        <w:pageBreakBefore w:val="false"/>
        <w:widowControl/>
        <w:numPr>
          <w:ilvl w:val="2"/>
          <w:numId w:val="6"/>
        </w:numPr>
        <w:pBdr/>
        <w:shd w:val="clear" w:fill="auto"/>
        <w:spacing w:lineRule="auto" w:line="276" w:before="0" w:after="0"/>
        <w:ind w:hanging="810" w:start="81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Thời hạn chuyển nhượng/Đổi cự ly: </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Trường hợp Sự Kiện bị hoãn hoặc hủy vì bất kỳ lý do nào, Bên A cam kết sẽ ngay lập tức thông báo đến Bên B và Khách Hàng đã mua Vé về quyết định hoãn, hủy Sự Kiện này và kế hoạch hoàn tiền cũng như những biện pháp cần thiết khác nhằm đảm bảo quyền lợi của Khách Hàng đã mua Vé và/hoặc thanh toán tiền theo đúng quy định của pháp luật.</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hiểu rõ và đồng ý rằng, Bên B chỉ là đơn vị hỗ trợ việc phân phối Vé cho (các) Sự Kiện của Bên A; vì vậy, trong mọi trường hợp Sự Kiện bị hoãn, hủy vì bất kỳ lý do nào, Bên A sẽ tự mình và bằng chi phí của chính mình để tiếp nhận, xử lý, giải quyết cho Khách Hàng và đảm bảo Bên B sẽ không phải chịu bất kỳ trách nhiệm hay thiệt hại nào xuất phát từ việc Sự Kiện bị hoãn, hủy. Mặc dù vậy, trong khả năng và tùy điều kiện cho phép, Bên B sẽ hỗ trợ Bên A các thông tin liên quan đến các giao dịch, Vé đã được bán cho Khách Hàng.</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Trong vòng hai mươi bốn giờ (24) làm việc kể từ thời điểm Bên B nhận được thông báo hoãn, hủy Sự Kiện từ Bên A, Bên B sẽ thực hiện (i) thông báo trên website 5bib.com (trong trường hợp hoãn tổ chức Sự Kiện) hoặc (ii) ngừng phân phối Vé (trong trường hợp hủy Sự Kiện) kèm theo kế hoạch hoàn tiền và các biện pháp khác (nếu cần) nhằm đảm bảo quyền lợi cho Khách Hàng đã mua vé, (iii) hỗ trợ Bên A tiếp nhận và chuyển các thông tin, yêu cầu của khách hàng kịp thời liên quan đến việc sự kiện bị hoãn huỷ, (iv) Thông báo và hướng dẫn Khách hàng liên hệ đầu mối giải quyết các yêu cầu, đề nghị và các khiếu nại liên quan đến sự kiện bị hoãn/huỷ, (v) phối hợp với Bên A trong việc giải quyết và chịu trách nhiệm về các vấn đề liên quan đến yêu cầu hoàn tiền của khách hàng</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đồng ý và cam kết rằng, Bên B vẫn được hưởng phí dịch vụ đối với những Vé được phân phối thông qua 5BIB (đã hoàn thành thanh toán), ngoại trừ những Vé được phân phối sau hai mươi bốn (24) giờ kể từ thời điểm Bên B nhận được thông báo về việc hủy Sự Kiện từ Bên A.</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HOÀN TIỀN CHO KHÁCH</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Việc hoàn tiền cho Khách Hàng sẽ được thực hiện khi Bên A có quyết định hoãn, hủy Sự Kiện như đã nêu tại mục Hoãn, Hủy Sự Kiện nêu trên.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Việc hoàn tiền cho Khách Hàng phải được thực hiện (i) đúng theo thông báo của Bên A đã gửi cho Khách Hàng và/hoặc 5BIB, (ii) trong một thời hạn hợp lý và (iii) phù hợp với quy định pháp luật hiện hành.</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Để đảm bảo quyền lợi của Khách Hàng, Bên B được quyền thay mặt Bên A thực hiện nghĩa vụ hoàn tiền đối với Khách Hàng khi Bên A đồng ý xác nhận và Bên A cam kết ngoài Phí bán vé, Bên A sẽ thanh toán lại cho Bên B toàn bộ số tiền mà Bên B đã chi trả thực tế cho Khách Hàng (nếu có) khi Bên A cung cấp các hồ sơ chứng từ chứng minh các khoản chi đó là hợp pháp và được Bên A thống nhất trước khi thực hiện. Lưu ý rằng với các trường hợp hoàn tiền này, Bên B vẫn được thu Khoản phí bán vé tương đương 6.5% trên tổng số tiền mà khách hàng đã thanh toán mua vé của bên A.</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Ngoài ra, Bên A phải bồi thường cho Bên B toàn bộ thiệt hại mà Bên B phải gánh chịu (nếu có)</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sẽ phải thanh toán toàn bộ số tiền nêu trên (gọi là "Khoản thanh toán") cho Bên B bằng cách cấn trừ vào khoản tiền bán vé mà Bên B phải thanh toán cho Bên A (gọi là “Khoản đã thu”), nếu Khoản thanh toán nhiều hơn Khoản đã thu thì phần chênh lệch phải được Bên A thanh toán cho Bên B trong vòng bảy (07) Ngày Làm Việc kể từ ngày Bên B gửi thông tin cho bên A; trường hợp Bên A thanh toán chậm trễ thì Bên A sẽ phải chịu phạt thêm tiền lãi suất cộng dồn bằng 0.02% trên số tiền chậm thanh toán cho mỗi ngày chậm thanh toán nhưng không quá 8% trên tổng số tiền chậm thanh toán tại thời điểm thanh toán hoặc bên A sẽ tự chịu trách nhiệm thanh toán cho khách hàng.</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B sẽ được miễn trừ tất cả trách nhiệm liên quan đến việc Hoãn/Hủy sự kiện do lỗi của Bên A.</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ĐỐI SOÁT VÀ BÀN GIAO THÔNG TIN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Đối soát</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Các đợt đối soát số liệu giữa các Bên:</w:t>
      </w:r>
    </w:p>
    <w:p>
      <w:pPr>
        <w:pStyle w:val="normal1"/>
        <w:keepNext w:val="false"/>
        <w:keepLines w:val="false"/>
        <w:pageBreakBefore w:val="false"/>
        <w:widowControl/>
        <w:numPr>
          <w:ilvl w:val="3"/>
          <w:numId w:val="6"/>
        </w:numPr>
        <w:pBdr/>
        <w:shd w:val="clear" w:fill="auto"/>
        <w:spacing w:lineRule="auto" w:line="276" w:before="0" w:after="0"/>
        <w:ind w:hanging="360" w:start="144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Việc đối soát sẽ được Bên B và Bên A thực hiện theo từng đợt hoặc sau khi kết thúc sự kiện với thời hạn của từng đợt tùy theo thỏa thuận giữa hai bên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Đợt Đối Soát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3"/>
          <w:numId w:val="6"/>
        </w:numPr>
        <w:pBdr/>
        <w:shd w:val="clear" w:fill="auto"/>
        <w:spacing w:lineRule="auto" w:line="276" w:before="0" w:after="0"/>
        <w:ind w:hanging="360" w:start="144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1 Tháng/lần cố định vào ngày đầu tiên của tháng hiện tại, số liệu lấy từ ngày 01 đến hết ngày cuối cùng của tháng trước đó. Chốt số liệu vào ngày tiếp theo, các khoản thu tiền và trừ phí của lần đối soát sẽ được cấn trừ trực tiếp vào khoản thu và chuyển về cho ban tổ chức tối đa sau 02 (hai) ngày kể từ ngày xác nhận đối soát.</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B sẽ gửi cho Bên A toàn bộ số liệu liên quan đến việc phân phối Vé của từng Đợt Đối Soát đến thư điện tử (email) do Bên A chỉ định. Bên A sẽ xem xét và phản hồi cho Bên B trong vòng hai (02) Ngày Làm Việc kể từ thời điểm nhận được email của Bên B (hoặc hệ thống email của Bên B thông báo là đã gửi thành công và phải có đại diện của Bên A xác nhận đã nhận được email); trường hợp quá thời hạn nêu trên mà Bên B không nhận được bất kỳ thông tin phản hồi nào từ Bên A về số liệu đối soát thì xem như là Bên A đã đồng ý với toàn bộ số liệu mà Bên B đã gửi và số liệu này sẽ được dùng làm cơ sở để Quyết toán và Thanh toán.</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Trong trường hợp Bên A không đồng ý với số liệu của Bên B thì hai Bên phải cùng nhau kiểm tra lại hệ thống. Nếu lỗi xác nhận từ phía Bên B thì các Bên sẽ xác nhận số liệu đối soát của phía Bên A hoặc ngược lại. </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Thời điểm gửi Báo cáo Doanh thu và Báo cáo đối soát:</w:t>
      </w:r>
    </w:p>
    <w:p>
      <w:pPr>
        <w:pStyle w:val="normal1"/>
        <w:spacing w:lineRule="auto" w:line="276"/>
        <w:ind w:hanging="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Bên B gửi Báo cáo đối soát bán vé chậm nhất trong vòng 02 (hai) ngày đầu tiên của kỳ đối soát tiếp theo cho Bên A theo thông tin trao đổi, gửi và nhận dữ liệu đối soát của hai Bên được quy định tại Hợp Đồng này.</w:t>
      </w:r>
    </w:p>
    <w:p>
      <w:pPr>
        <w:pStyle w:val="normal1"/>
        <w:keepNext w:val="false"/>
        <w:keepLines w:val="false"/>
        <w:pageBreakBefore w:val="false"/>
        <w:widowControl/>
        <w:numPr>
          <w:ilvl w:val="3"/>
          <w:numId w:val="6"/>
        </w:numPr>
        <w:pBdr/>
        <w:shd w:val="clear" w:fill="auto"/>
        <w:spacing w:lineRule="auto" w:line="276" w:before="0" w:after="0"/>
        <w:ind w:hanging="360" w:start="144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hiểu và đồng ý rằng, việc đối soát, xác nhận số liệu đối soát thông qua email do Bên A chỉ định sẽ có giá trị pháp lý làm cơ sở để các Bên cùng ký biên bản đối soát được thực hiện bằng bản giấy có chữ ký xác nhận của đại diện hai bên và đóng dấu Công ty; theo đó, Bên A không được phủ nhận giá trị pháp lý của các email đối soát số liệu này chỉ vì việc đối soát được thực hiện thông qua phương tiện điện tử.</w:t>
      </w:r>
    </w:p>
    <w:p>
      <w:pPr>
        <w:pStyle w:val="normal1"/>
        <w:keepNext w:val="false"/>
        <w:keepLines w:val="false"/>
        <w:pageBreakBefore w:val="false"/>
        <w:widowControl/>
        <w:numPr>
          <w:ilvl w:val="3"/>
          <w:numId w:val="6"/>
        </w:numPr>
        <w:pBdr/>
        <w:shd w:val="clear" w:fill="auto"/>
        <w:spacing w:lineRule="auto" w:line="276" w:before="0" w:after="0"/>
        <w:ind w:hanging="360" w:start="144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Trường hợp số liệu của Bên B và số liệu của Bên A có xảy ra chênh lệch thì hai bên sẽ cùng thực hiện đối soát chi tiết để có số liệu đối soát chính xác.</w:t>
      </w:r>
    </w:p>
    <w:p>
      <w:pPr>
        <w:pStyle w:val="normal1"/>
        <w:spacing w:lineRule="auto" w:line="276"/>
        <w:ind w:hanging="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Trong các kỳ đối soát, nếu Bên A phát hiện có nhầm lẫn/sai sót trong quá trình đối soát số lượng vé và giá trị tiền thu về, Bên B có trách nhiệm đối soát bổ sung ngay sau khi có phản hồi của Bên A. Trường hợp nếu không thể khắc phục được nhầm lẫn, sai sót đó (</w:t>
      </w:r>
      <w:r>
        <w:rPr>
          <w:rFonts w:eastAsia="Times New Roman" w:cs="Times New Roman" w:ascii="Times New Roman" w:hAnsi="Times New Roman"/>
          <w:i/>
          <w:iCs/>
          <w:sz w:val="24"/>
          <w:szCs w:val="24"/>
        </w:rPr>
        <w:t>phát sinh do lỗi của Bên B</w:t>
      </w:r>
      <w:r>
        <w:rPr>
          <w:rFonts w:eastAsia="Times New Roman" w:cs="Times New Roman" w:ascii="Times New Roman" w:hAnsi="Times New Roman"/>
          <w:sz w:val="24"/>
          <w:szCs w:val="24"/>
        </w:rPr>
        <w:t>) thì Bên B chịu trách nhiệm đền bù thiệt hại trên thực tế cho Bên A.</w:t>
        <w:tab/>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Bàn giao thông tin</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B sẽ cung cấp cho Bên A danh sách thông tin người tham gia qua email do Bên A chỉ định.</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Địa chỉ thông tin trao đổi, gửi và nhận dữ liệu đối soát của Các Bên</w:t>
      </w:r>
    </w:p>
    <w:p>
      <w:pPr>
        <w:pStyle w:val="normal1"/>
        <w:spacing w:lineRule="auto" w:line="276"/>
        <w:ind w:hanging="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Các Bên thống nhất thông tin trao đổi, gửi và nhận dữ liệu đối soát của Các Bên tại Hợp Đồng này được quy định như sau:</w:t>
      </w:r>
    </w:p>
    <w:p>
      <w:pPr>
        <w:pStyle w:val="normal1"/>
        <w:spacing w:lineRule="auto" w:line="276"/>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Thông tin địa chỉ thư điện tử của Bên A</w:t>
      </w:r>
    </w:p>
    <w:tbl>
      <w:tblPr>
        <w:tblStyle w:val="Table5"/>
        <w:tblW w:w="9360" w:type="dxa"/>
        <w:jc w:val="start"/>
        <w:tblInd w:w="0" w:type="dxa"/>
        <w:tblLayout w:type="fixed"/>
        <w:tblCellMar>
          <w:top w:w="0" w:type="dxa"/>
          <w:start w:w="108" w:type="dxa"/>
          <w:bottom w:w="0" w:type="dxa"/>
          <w:end w:w="108" w:type="dxa"/>
        </w:tblCellMar>
        <w:tblLook w:val="0400"/>
      </w:tblPr>
      <w:tblGrid>
        <w:gridCol w:w="1434"/>
        <w:gridCol w:w="283"/>
        <w:gridCol w:w="7643"/>
      </w:tblGrid>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Họ và tên</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Chức vụ</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Email</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Họ và tên</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Chức vụ</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1434" w:type="dxa"/>
            <w:tcBorders/>
          </w:tcPr>
          <w:p>
            <w:pPr>
              <w:pStyle w:val="normal1"/>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Email</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Thông tin địa chỉ thư điện tử của Bên B</w:t>
      </w:r>
    </w:p>
    <w:tbl>
      <w:tblPr>
        <w:tblStyle w:val="Table6"/>
        <w:tblW w:w="9360" w:type="dxa"/>
        <w:jc w:val="start"/>
        <w:tblInd w:w="0" w:type="dxa"/>
        <w:tblLayout w:type="fixed"/>
        <w:tblCellMar>
          <w:top w:w="0" w:type="dxa"/>
          <w:start w:w="108" w:type="dxa"/>
          <w:bottom w:w="0" w:type="dxa"/>
          <w:end w:w="108" w:type="dxa"/>
        </w:tblCellMar>
        <w:tblLook w:val="0400"/>
      </w:tblPr>
      <w:tblGrid>
        <w:gridCol w:w="1434"/>
        <w:gridCol w:w="283"/>
        <w:gridCol w:w="7643"/>
      </w:tblGrid>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Họ và tên</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{provider.representative}</w:t>
            </w:r>
          </w:p>
        </w:tc>
      </w:tr>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Chức vụ</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{provider.position}</w:t>
            </w:r>
          </w:p>
        </w:tc>
      </w:tr>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Email</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danny@5bib.com</w:t>
            </w:r>
          </w:p>
        </w:tc>
      </w:tr>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Họ và tên</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Trần Thanh Bình</w:t>
            </w:r>
          </w:p>
        </w:tc>
      </w:tr>
      <w:tr>
        <w:trPr/>
        <w:tc>
          <w:tcPr>
            <w:tcW w:w="1434"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Chức vụ</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Kế toán trưởng</w:t>
            </w:r>
          </w:p>
        </w:tc>
      </w:tr>
      <w:tr>
        <w:trPr/>
        <w:tc>
          <w:tcPr>
            <w:tcW w:w="1434" w:type="dxa"/>
            <w:tcBorders/>
          </w:tcPr>
          <w:p>
            <w:pPr>
              <w:pStyle w:val="normal1"/>
              <w:spacing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Email</w:t>
            </w:r>
          </w:p>
        </w:tc>
        <w:tc>
          <w:tcPr>
            <w:tcW w:w="28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643" w:type="dxa"/>
            <w:tcBorders/>
          </w:tcPr>
          <w:p>
            <w:pPr>
              <w:pStyle w:val="normal1"/>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ketoan@5bib.com</w:t>
            </w:r>
          </w:p>
        </w:tc>
      </w:tr>
    </w:tbl>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Mọi rủi ro và quyền sở hữu, sử dụng đối với thông tin người tham gia được chuyển cho Bên A kể từ thời điểm danh sách đã được gửi thành công tới email của Bên A, Bên A có đại diện xác nhận đã nhận được email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hoặc hệ thống email của Bên B thông báo là đã gửi thành công, và phải có xác nhận của đại diện Bên 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sẽ xác nhận số lượng người tham gia theo danh sách thông tin mà Bên B đã bàn giao cho Bên A để tiến hành Đối soát và ký kết Quyết toán.</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THANH TOÁN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PHÍ BÁN VÉ:</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Được tính sau khi đóng cổng đăng ký giải chạy hoặc theo từng đợt đối soát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tùy vào thỏa thuận của hai Bên</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có trách nhiệm trả khoản Phí bán vé theo Điều 1.7 bằng cách cấn trừ trực tiếp vào Khoản bán vé sau khi kết thúc giải chạy hoặc theo từng đợt đối soát.</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KHOẢN BÁN VÉ:</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B sẽ thực hiện thanh toán cho Bên A toàn bộ tiền thu được dựa theo báo cáo doanh thu trong Biên bản bàn giao/Quyết toán sau khi trừ đi phần phí dịch vụ mà Bên B được hưởng và/hoặc bất kỳ khoản tiền nào mà Bên A có nghĩa vụ phải thanh toán cho Bên B theo Thỏa Thuận này trong vòng 03 (ba) ngày kể từ ngày các Bên ký xác nhận báo cáo Doanh thu cho mỗi kỳ đối soát. Thông tin tài khoản thanh toán của bên A được quy định tại phần đầu của Hợp đồng</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cam kết và đảm bảo rằng, Bên A sẽ thực hiện nộp bất kỳ và toàn bộ các khoản tiền thuế, phí, lệ phí có liên quan đến số tiền bán Vé nhận được từ Bên B theo đúng quy định của pháp luật Việt Nam.</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Mỗi Bên sẽ phải chịu phạt nếu thanh toán trễ với mức lãi suất 0.02% cho mỗi ngày trên tổng số ngày thanh toán chậm tính trên tổng số tiền thanh toán chậm tại thời điểm thanh toán. Nếu quá thời hạn thanh toán 30 (ba mươi) ngày, thì Bên nhận thanh toán có quyền đơn phương chấm dứt Hợp đồng mà không cần thực hiện bất kỳ nghĩa vụ nào đối với Bên thanh toán. Ngoài ra, Bên nhận thanh toán có quyền phạt Bên thanh toán 8% trên tổng số tiền chậm thanh toán tại thời điểm thanh toán và yêu cầu Bên thanh toán phải thanh toán toàn bộ số tiền theo nghĩa vụ cũng như những thiệt hại phát sinh nếu có. Trừ trường hợp có thỏa thuận khác bằng văn bản được hai bên xác nhận.</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HÓA ĐƠN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B sẽ thực hiện xuất hóa đơn tài chính hợp lệ cho Bên A đối với khoản tiền phí dịch vụ như đã nêu ở Điều 1.7 và 1.8</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NGHĨA VỤ VÀ TRÁCH NHIỆM CỦA MỖI BÊN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Nghĩa vụ và Trách nhiệm của Bên A</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Bên A đảo đảm khách hàng đã mua vé của Bên B được hưởng đầy đủ các quyền lợi của người tham gia sự kiện và không phân biệt đối xử đối với các Khách Hàng khác của bên A(trừ trường hợp Bên A dành cho các Khách Hàng mua Vé từ Bên B những tiện ích tốt hơn so với Vé thông thường khác) và/hoặc không yêu cầu Khách Hàng sử dụng Vé mua từ Bên B phải thanh toán thêm bất kỳ khoản chi phí nào khác. Trường hợp có bất kỳ Khách Hàng nào khiếu nại đến Bên B và có bằng chứng về việc vi phạm trên thì Bên B có quyền sử dụng khoản tiền sẽ chuyển cho Bên A để bồi thường cho Khách Hàng mà không cần sự đồng ý trước của Bên A;</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Được quyền yêu cầu Bên B thực hiện công việc đúng như quy định tại Điều 1 của Hợp đồng này;</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Cung cấp cho Bên B thông tin và lịch trình chi tiết về sự kiện do Bên A tổ chức;</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Chịu trách nhiệm thực hiện đúng với nội dung thông tin về sự kiện mà Bên A đã cung cấp đối với người tham gia và giải quyết các khiếu nại phát sinh liên quan đến các nội dung này;</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Thanh toán cho Bên B theo đúng như Điều 7.1;</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Thực hiện các quyền lợi của Bên B theo quy định tại Phụ lục 02 của Hợp đồng này (nếu có).</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Chỉ định người có thẩm quyền làm việc với Bên B theo Hợp Đồng này;</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Tiếp nhận Dữ liệu Cá Nhân được chuyển giao từ Bên B;</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Thông tin người tiếp nhận chuyển giao dữ liệu:</w:t>
      </w:r>
    </w:p>
    <w:p>
      <w:pPr>
        <w:pStyle w:val="normal1"/>
        <w:keepNext w:val="false"/>
        <w:keepLines w:val="false"/>
        <w:pageBreakBefore w:val="false"/>
        <w:widowControl/>
        <w:numPr>
          <w:ilvl w:val="3"/>
          <w:numId w:val="6"/>
        </w:numPr>
        <w:pBdr/>
        <w:shd w:val="clear" w:fill="auto"/>
        <w:spacing w:lineRule="auto" w:line="276" w:before="0" w:after="0"/>
        <w:ind w:hanging="360" w:start="144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Họ và tên:</w:t>
      </w:r>
    </w:p>
    <w:p>
      <w:pPr>
        <w:pStyle w:val="normal1"/>
        <w:keepNext w:val="false"/>
        <w:keepLines w:val="false"/>
        <w:pageBreakBefore w:val="false"/>
        <w:widowControl/>
        <w:numPr>
          <w:ilvl w:val="3"/>
          <w:numId w:val="6"/>
        </w:numPr>
        <w:pBdr/>
        <w:shd w:val="clear" w:fill="auto"/>
        <w:spacing w:lineRule="auto" w:line="276" w:before="0" w:after="0"/>
        <w:ind w:hanging="360" w:start="144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Email: </w:t>
      </w:r>
    </w:p>
    <w:p>
      <w:pPr>
        <w:pStyle w:val="normal1"/>
        <w:keepNext w:val="false"/>
        <w:keepLines w:val="false"/>
        <w:pageBreakBefore w:val="false"/>
        <w:widowControl/>
        <w:numPr>
          <w:ilvl w:val="3"/>
          <w:numId w:val="6"/>
        </w:numPr>
        <w:pBdr/>
        <w:shd w:val="clear" w:fill="auto"/>
        <w:spacing w:lineRule="auto" w:line="276" w:before="0" w:after="0"/>
        <w:ind w:hanging="360" w:start="144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Số điện thoại: </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Nghĩa vụ và Trách nhiệm của Bên B</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Được quyền yêu cầu Bên A thực hiện công việc đúng như quy định của Hợp đồng này;</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Đăng thông tin về sự kiện do Bên A tổ chức lên website của Bên B theo đúng nội dung mà Bên A cung cấp;</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Cung cấp cho Bên A danh sách thông tin và số lượng người tham gia theo định kỳ (hai bên tự thỏa thuận thời gian bàn giao thông tin);</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Cung cấp cho Bên A dịch vụ kiểm soát vé tại Sự kiện yêu cầu; và được yêu cầu Bên A cung cấp các điều kiện cần thiết cho Bên B ở địa điểm sự kiện để thực hiện đổi vé, kiểm tra vé (ví dụ như bàn, ghế,…).</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Không chịu bất kỳ trách nhiệm nào đối với người tham gia (ngoại trừ liên quan đến việc thanh toán tiền vé do Bên B phân phối);</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Không có nghĩa vụ và trách nhiệm xuất hóa đơn tài chính cho toàn bộ vé bán ra theo yêu cầu của khách hàng. </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Thanh toán cho Bên A theo đúng như Điều 7.2;</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Thực hiện các quyền lợi của Bên A quy định tại Phụ lục 01 của Hợp đồng này (nếu có);</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Chỉ định người có thẩm quyền làm việc với Bên A theo Hợp Đồng này;</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Không được quyền chuyển giao việc thực hiện Hợp Đồng này cho một bên thứ ba bất kỳ trừ khi có sự đồng ý bằng văn bản của Bên A. Bên nhận chuyển giao phải là pháp nhân có đăng ký kinh doanh và đủ điều kiện để tiếp tục thực hiện Hợp Đồng này.</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Chịu trách nhiệm giải quyết các tranh chấp, bồi thường thiệt hại với bên khác ngoài Hợp đồng với Bên A nếu vi phạm các quy định tại Hợp đồng, hoặc phát sinh do lỗi của Bên B.</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Bảo đảm về tư cách pháp lý đủ điều kiện được cấp phép hoạt động bán vé trên cổng 5bib.com và cung cấp dịch vụ hợp pháp theo quy định của pháp luật cho Bên A. Chịu trách nhiệm giải quyết và đền bù thiệt hại cho do toàn bộ các nhầm lẫn hoặc sai sót về các thông tin liên quan đến việc bán vé (vé bán ra, người mua vé…) do lỗi của bên B hoặc do lỗi của hệ thống bán vé.</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Chuyển giao Dữ Liệu Cá Nhân của người đăng ký cho Bên A;</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Thông tin người quản lý và chuyển giao dữ liệu:</w:t>
      </w:r>
    </w:p>
    <w:p>
      <w:pPr>
        <w:pStyle w:val="normal1"/>
        <w:keepNext w:val="false"/>
        <w:keepLines w:val="false"/>
        <w:pageBreakBefore w:val="false"/>
        <w:widowControl/>
        <w:numPr>
          <w:ilvl w:val="0"/>
          <w:numId w:val="3"/>
        </w:numPr>
        <w:pBdr/>
        <w:shd w:val="clear" w:fill="auto"/>
        <w:spacing w:lineRule="auto" w:line="276" w:before="0" w:after="0"/>
        <w:ind w:hanging="360" w:start="144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Họ và tên: {provider.representative}</w:t>
      </w:r>
    </w:p>
    <w:p>
      <w:pPr>
        <w:pStyle w:val="normal1"/>
        <w:keepNext w:val="false"/>
        <w:keepLines w:val="false"/>
        <w:pageBreakBefore w:val="false"/>
        <w:widowControl/>
        <w:numPr>
          <w:ilvl w:val="0"/>
          <w:numId w:val="3"/>
        </w:numPr>
        <w:pBdr/>
        <w:shd w:val="clear" w:fill="auto"/>
        <w:spacing w:lineRule="auto" w:line="276" w:before="0" w:after="0"/>
        <w:ind w:hanging="360" w:start="144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Email: danny@5bib.com</w:t>
      </w:r>
    </w:p>
    <w:p>
      <w:pPr>
        <w:pStyle w:val="normal1"/>
        <w:keepNext w:val="false"/>
        <w:keepLines w:val="false"/>
        <w:pageBreakBefore w:val="false"/>
        <w:widowControl/>
        <w:numPr>
          <w:ilvl w:val="0"/>
          <w:numId w:val="3"/>
        </w:numPr>
        <w:pBdr/>
        <w:shd w:val="clear" w:fill="auto"/>
        <w:spacing w:lineRule="auto" w:line="276" w:before="0" w:after="0"/>
        <w:ind w:hanging="360" w:start="144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Số điện thoại: </w:t>
      </w:r>
    </w:p>
    <w:p>
      <w:pPr>
        <w:pStyle w:val="normal1"/>
        <w:keepNext w:val="false"/>
        <w:keepLines w:val="false"/>
        <w:pageBreakBefore w:val="false"/>
        <w:widowControl/>
        <w:pBdr/>
        <w:shd w:val="clear" w:fill="auto"/>
        <w:spacing w:lineRule="auto" w:line="276" w:before="0" w:after="0"/>
        <w:ind w:hanging="0" w:start="144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CHẤM DỨT HỢP ĐỒNG</w:t>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Hợp đồng này có giá trị từ ngày ký và chỉ được chấm dứt theo một trong các trường hợp sau:</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Tất cả Vé hết hạn sử dụng được quy định tại Điều 2 của Hợp đồng này hoặc sau khi sự kiện kết thúc và hai bên hoàn tất Quyết toán và Thanh toán;</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Hai bên thỏa thuận chấm dứt Hợp đồng trước thời hạn;</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Một trong hai bên buộc phải giải thể, phá sản theo quyết định của Cơ quan Nhà nước có thẩm quyền;</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Một Bên vi phạm Thỏa Thuận này mà không khắc phục trong vòng năm (05) Ngày Làm Việc kể từ ngày nhận được thông báo/yêu cầu của Bên còn lại.</w:t>
      </w:r>
    </w:p>
    <w:p>
      <w:pPr>
        <w:pStyle w:val="normal1"/>
        <w:keepNext w:val="false"/>
        <w:keepLines w:val="false"/>
        <w:pageBreakBefore w:val="false"/>
        <w:widowControl/>
        <w:numPr>
          <w:ilvl w:val="2"/>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Đến khi hai Bên làm Biên bản thanh lý để chấm dứt hợp đồng.</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BẢO MẬT THÔNG TIN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Bên B cam kết giữ bảo mật tuyệt đối tất cả các thông tin của Bên A mà Bên B có được trong quá trình thực hiện Hợp đồng này, bao gồm nhưng không giới hạn các thông chưa được công bố (gọi chung là “Thông tin bảo mật”). Bên B đồng thời cam kết và bảo đảm rằng, trừ trường hợp được sự đồng ý bằng văn bản của Bên A, Bên B các nhân viên/người lao động, cộng tác viên, đại diện khác của mình sẽ không sử dụng hoặc cung cấp cho bên thứ ba bất kỳ Thông tin bảo mật nào trong bất kỳ trường hợp nào và cho bất kỳ mục đích nào ngoài mục đích thực hiện Hợp đồng này. Nếu Bên B vi phạm các quy định nói trên, Bên A có quyền ngay lập tức chấm dứt Hợp đồng này và Bên B phải bồi thường cho Bên A mọi thiệt hại do việc vi phạm của mình gây ra, nếu có. </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Điều khoản bảo mật này vẫn tiếp tục giữ nguyên hiệu lực sau khi Hợp đồng chấm dứt mà không có thời điểm giới hạn nào. Tuy nhiên, điều khoản bảo mật sẽ không được áp dụng cho những thông tin mà (i) đã được phổ biến và công khai, hoặc (ii) phải tiết lộ cho các cơ quan thẩm quyền theo quy định của pháp luật. Trong trường hợp (ii), Bên B phải thông báo trước cho Bên A bằng văn bản.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Các Bên cam kết sẽ tuân thủ các quy định pháp luật về bảo vệ dữ liệu cá nhân được quy định tại Nghị định 13/2023/NĐ-CP ngày 17/04/2023 (và các văn bản hướng dẫn, sửa đổi, bổ sung, thay thế khác (nếu có)) cùng các văn bản pháp luật có liên quan. Đồng thời, các Bên cam kết sẽ trao đổi, thương lượng và/hoặc đồng ý ký kết (các) văn bản, Phụ lục Hợp đồng để điều chỉnh các nội dung liên quan đến việc bảo vệ Dữ liệu cá nhân theo (các) đề xuất, yêu cầu từ Bên còn lại vào mọi thời điểm trong quá trình thực hiện Hợp đồng để đảm bảo tuân thủ quy định pháp luật. Trường hợp Bên nào không tuân thủ các cam kết này, được xem là Bên đó đã vi phạm Hợp đồng và phải chịu hoàn toàn trách nhiệm theo quy định cho các vi phạm do mình gây ra. Bên còn lại có quyền đơn phương chấm dứt Hợp Đồng và các Phụ lục Hợp Đồng ngay lập tức.</w:t>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Để làm rõ, việc Hai Bên không hoàn thành việc giao kết các văn bản, Phụ lục trong thời hạn đã cam kết mà xuất phát từ lỗi của Một Bên thì được xem là hành vi vi phạm Hợp đồng của Bên đó. Khi đó, Bên còn lại có quyền được miễn trừ trách nhiệm.</w:t>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GIẢI QUYẾT TRANH CHẤP HỢP ĐỒNG</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Trong quá trình thực hiện Hợp Đồng hai Bên cần chủ động thông báo cho nhau biết tiến độ thực hiện Hợp Đồng, nếu có vấn đề bất lợi phát sinh hoặc xảy ra tranh chấp, các Bên phải kịp thời thông báo bằng văn bản cho nhau biết và phải chủ động bàn bạc giải quyết trên cơ sở thương lượng, tôn trọng quyền và lợi ích hợp pháp của các Bên;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Trong quá trình thực hiện Hợp đồng này, nếu có bất kỳ tranh chấp, mâu thuẫn nào phát sinh từ hoặc liên quan đến Hợp đồng, Các Bên trước hết sẽ nỗ lực cùng nhau thương lượng, thảo luận giải quyết trên tinh thần đôi bên đều có lợi. Trường hợp Các Bên không thể giải quyết được các tranh chấp, mâu thuẫn đó trên tinh thần thiện chí trong vòng 30 (ba mươi) ngày kể từ khi một Bên đề cập vấn đề cho Bên kia bằng văn bản, Các Bên đồng ý rằng vụ việc, tranh chấp sẽ được giải quyết tại Tòa án nhân dân có thẩm quyền theo quy định của pháp luật.</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SỰ KIỆN BẤT KHẢ KHÁNG</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Sự Kiện Bất Khả Kháng là sự kiện vượt ra ngoài khả năng kiểm soát của các Bên, và không liên quan tới lỗi hoặc sự bất cẩn của bất kỳ Bên nào cũng như không thể thấy trước, không thể tránh được và không thể khắc phục được mặc dù đã áp dụng mọi biện pháp cần thiết và khả năng cho phép và làm cho Bên bị ảnh hưởng không thể thực hiện được bất kỳ nghĩa vụ hay trách nhiệm nào quy định tại Hợp đồng này. Các Sự Kiện Bất Khả Kháng bao gồm nhưng không giới hạn các sự kiện như: dịch bệnh, lũ lụt, hỏa hoạn, hạn hán, bão, động đất, các sự kiện xã hội như: biểu tình, bạo động, bạo loạn và chiến tranh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tuyên bố hoặc không tuyên bố</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các hoạt động của Chính phủ, các trục trặc hệ thống mạng.</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Một hoặc hai Bên gặp phải trường hợp Bất khả kháng không thể thực hiện được nghĩa vụ Hợp đồng thì được tạm ngưng thực hiện Hợp đồng mà không bị xem là vi phạm nghĩa vụ theo Hợp đồng khi đã thực hiện trách nhiệm thông báo bằng văn bản cho Bên còn lại biết trong vòng 03 (ba) ngày kể từ ngày xảy ra Sự Kiện Bất Khả Kháng. Nếu các tình huống do Sự Kiện Bất Khả Kháng gây ra kéo dài hơn 01 (một) tháng, Bên không bị ảnh hưởng có thể đơn phương chấm dứt Hợp đồng bằng cách gửi thông báo cho Bên bị ảnh hưởng và không yêu cầu các khoản phạt, bồi thường thiệt hại phát sinh.</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Trường hợp có tổn thất vật chất thực tế phát sinh vì nguyên nhân Bất khả kháng, các Bên có thể thương lượng về việc chia sẻ tổn thất, nếu không thương lượng được thì giải quyết theo qui định của pháp luật.</w:t>
      </w:r>
    </w:p>
    <w:p>
      <w:pPr>
        <w:pStyle w:val="normal1"/>
        <w:keepNext w:val="false"/>
        <w:keepLines w:val="false"/>
        <w:pageBreakBefore w:val="false"/>
        <w:widowControl/>
        <w:pBdr/>
        <w:shd w:val="clear" w:fill="auto"/>
        <w:spacing w:lineRule="auto" w:line="276"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pBdr/>
        <w:shd w:val="clear" w:fill="auto"/>
        <w:spacing w:lineRule="auto" w:line="276" w:before="0" w:after="0"/>
        <w:ind w:hanging="720" w:start="72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 xml:space="preserve">ĐIỀU KHOẢN CHUNG </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Những vấn đề chưa được quy định trong Hợp Đồng này sẽ được hai Bên thống nhất áp dụng quy định của Pháp luật của Nước CHXHCN Việt Nam.</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Trường hợp nếu có sự thay đổi, bổ sung thêm các điều khoản hay chi tiết nào đó thì hai Bên sẽ bàn bạc và được thể hiện vào biên bản ghi nhớ hoặc ký kết các phụ lục hợp đồng trước khi thực hiện.</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Hợp đồng có hiệu lực kể từ ngày ký. Sau khi 02 Bên hoàn thành nghĩa vụ trong hợp đồng và sau 10 (mười) ngày nếu không có vướng mắc gì thì coi như hợp đồng đã tự động được thanh lý.</w:t>
      </w:r>
    </w:p>
    <w:p>
      <w:pPr>
        <w:pStyle w:val="normal1"/>
        <w:keepNext w:val="false"/>
        <w:keepLines w:val="false"/>
        <w:pageBreakBefore w:val="false"/>
        <w:widowControl/>
        <w:numPr>
          <w:ilvl w:val="1"/>
          <w:numId w:val="6"/>
        </w:numPr>
        <w:pBdr/>
        <w:shd w:val="clear" w:fill="auto"/>
        <w:spacing w:lineRule="auto" w:line="276" w:before="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Hợp Đồng được lập thành hai (02) bản gốc, mỗi Bên giữ một (01) bản và có giá trị pháp lý như nhau.</w:t>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7"/>
        <w:tblW w:w="9781" w:type="dxa"/>
        <w:jc w:val="center"/>
        <w:tblInd w:w="0" w:type="dxa"/>
        <w:tblLayout w:type="fixed"/>
        <w:tblCellMar>
          <w:top w:w="0" w:type="dxa"/>
          <w:start w:w="108" w:type="dxa"/>
          <w:bottom w:w="0" w:type="dxa"/>
          <w:end w:w="108" w:type="dxa"/>
        </w:tblCellMar>
        <w:tblLook w:val="0400"/>
      </w:tblPr>
      <w:tblGrid>
        <w:gridCol w:w="5388"/>
        <w:gridCol w:w="4393"/>
      </w:tblGrid>
      <w:tr>
        <w:trPr/>
        <w:tc>
          <w:tcPr>
            <w:tcW w:w="5388" w:type="dxa"/>
            <w:tcBorders/>
          </w:tcPr>
          <w:p>
            <w:pPr>
              <w:pStyle w:val="normal1"/>
              <w:spacing w:lineRule="auto" w:line="276"/>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ĐẠI DIỆN BÊN SỬ DỤNG</w:t>
            </w:r>
          </w:p>
          <w:p>
            <w:pPr>
              <w:pStyle w:val="normal1"/>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393" w:type="dxa"/>
            <w:tcBorders/>
          </w:tcPr>
          <w:p>
            <w:pPr>
              <w:pStyle w:val="normal1"/>
              <w:spacing w:lineRule="auto" w:line="276"/>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ĐẠI DIỆN BÊN CUNG CẤP</w:t>
            </w:r>
          </w:p>
          <w:p>
            <w:pPr>
              <w:pStyle w:val="normal1"/>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{provider.entityName}</w:t>
            </w:r>
          </w:p>
        </w:tc>
      </w:tr>
      <w:tr>
        <w:trPr>
          <w:trHeight w:val="2844" w:hRule="atLeast"/>
        </w:trPr>
        <w:tc>
          <w:tcPr>
            <w:tcW w:w="5388" w:type="dxa"/>
            <w:tcBorders/>
          </w:tcPr>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Ông:</w:t>
            </w:r>
          </w:p>
          <w:p>
            <w:pPr>
              <w:pStyle w:val="normal1"/>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Chức vụ: {provider.position}</w:t>
            </w:r>
          </w:p>
        </w:tc>
        <w:tc>
          <w:tcPr>
            <w:tcW w:w="4393" w:type="dxa"/>
            <w:tcBorders/>
          </w:tcPr>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Ông: </w:t>
            </w:r>
            <w:r>
              <w:rPr>
                <w:rFonts w:eastAsia="Times New Roman" w:cs="Times New Roman" w:ascii="Times New Roman" w:hAnsi="Times New Roman"/>
                <w:b/>
                <w:bCs/>
                <w:sz w:val="24"/>
                <w:szCs w:val="24"/>
              </w:rPr>
              <w:t>{provider.representative}</w:t>
            </w:r>
          </w:p>
          <w:p>
            <w:pPr>
              <w:pStyle w:val="normal1"/>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Chức vụ: {provider.position}</w:t>
            </w:r>
          </w:p>
        </w:tc>
      </w:tr>
    </w:tbl>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widowControl w:val="false"/>
        <w:spacing w:lineRule="auto" w:line="276"/>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PHỤ LỤC 1</w:t>
      </w:r>
    </w:p>
    <w:p>
      <w:pPr>
        <w:pStyle w:val="normal1"/>
        <w:spacing w:lineRule="auto" w:line="276"/>
        <w:jc w:val="center"/>
        <w:rPr>
          <w:rFonts w:ascii="Times New Roman" w:hAnsi="Times New Roman" w:eastAsia="Times New Roman" w:cs="Times New Roman"/>
          <w:i/>
          <w:iCs/>
          <w:sz w:val="24"/>
          <w:szCs w:val="24"/>
        </w:rPr>
      </w:pPr>
      <w:r>
        <w:rPr>
          <w:rFonts w:eastAsia="Times New Roman" w:cs="Times New Roman" w:ascii="Times New Roman" w:hAnsi="Times New Roman"/>
          <w:i/>
          <w:iCs/>
          <w:sz w:val="24"/>
          <w:szCs w:val="24"/>
        </w:rPr>
        <w:t>(Đính kèm theo Hợp Đồng Số: {contractNumber})</w:t>
      </w:r>
    </w:p>
    <w:p>
      <w:pPr>
        <w:pStyle w:val="normal1"/>
        <w:keepNext w:val="false"/>
        <w:keepLines w:val="false"/>
        <w:pageBreakBefore w:val="false"/>
        <w:widowControl/>
        <w:numPr>
          <w:ilvl w:val="6"/>
          <w:numId w:val="4"/>
        </w:numPr>
        <w:pBdr/>
        <w:shd w:val="clear" w:fill="auto"/>
        <w:spacing w:lineRule="auto" w:line="276" w:before="120" w:after="12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Chi tiết Quyền Lợi được hưởng của Bên A:</w:t>
      </w:r>
    </w:p>
    <w:tbl>
      <w:tblPr>
        <w:tblStyle w:val="Table8"/>
        <w:tblW w:w="9747" w:type="dxa"/>
        <w:jc w:val="center"/>
        <w:tblInd w:w="0" w:type="dxa"/>
        <w:tblLayout w:type="fixed"/>
        <w:tblCellMar>
          <w:top w:w="0" w:type="dxa"/>
          <w:start w:w="108" w:type="dxa"/>
          <w:bottom w:w="0" w:type="dxa"/>
          <w:end w:w="108" w:type="dxa"/>
        </w:tblCellMar>
        <w:tblLook w:val="0400"/>
      </w:tblPr>
      <w:tblGrid>
        <w:gridCol w:w="851"/>
        <w:gridCol w:w="6525"/>
        <w:gridCol w:w="1140"/>
        <w:gridCol w:w="1231"/>
      </w:tblGrid>
      <w:tr>
        <w:trPr>
          <w:trHeight w:val="455" w:hRule="atLeast"/>
        </w:trPr>
        <w:tc>
          <w:tcPr>
            <w:tcW w:w="8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276" w:before="80" w:after="80"/>
              <w:jc w:val="center"/>
              <w:rPr>
                <w:rFonts w:ascii="Times New Roman" w:hAnsi="Times New Roman" w:eastAsia="Times New Roman" w:cs="Times New Roman"/>
                <w:b/>
                <w:bCs/>
                <w:sz w:val="24"/>
                <w:szCs w:val="24"/>
              </w:rPr>
            </w:pPr>
            <w:bookmarkStart w:id="1" w:name="_heading=h.30j0zll"/>
            <w:bookmarkEnd w:id="1"/>
            <w:r>
              <w:rPr>
                <w:rFonts w:eastAsia="Times New Roman" w:cs="Times New Roman" w:ascii="Times New Roman" w:hAnsi="Times New Roman"/>
                <w:b/>
                <w:bCs/>
                <w:sz w:val="24"/>
                <w:szCs w:val="24"/>
              </w:rPr>
              <w:t>STT</w:t>
            </w:r>
          </w:p>
        </w:tc>
        <w:tc>
          <w:tcPr>
            <w:tcW w:w="652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276" w:before="80" w:after="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QUYỀN LỢI</w:t>
            </w:r>
          </w:p>
        </w:tc>
        <w:tc>
          <w:tcPr>
            <w:tcW w:w="114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276" w:before="80" w:after="80"/>
              <w:jc w:val="both"/>
              <w:rPr>
                <w:rFonts w:ascii="Times New Roman" w:hAnsi="Times New Roman" w:eastAsia="Times New Roman" w:cs="Times New Roman"/>
                <w:b/>
                <w:bCs/>
                <w:i/>
                <w:iCs/>
                <w:sz w:val="24"/>
                <w:szCs w:val="24"/>
              </w:rPr>
            </w:pPr>
            <w:r>
              <w:rPr>
                <w:rFonts w:eastAsia="Times New Roman" w:cs="Times New Roman" w:ascii="Times New Roman" w:hAnsi="Times New Roman"/>
                <w:b/>
                <w:bCs/>
                <w:sz w:val="24"/>
                <w:szCs w:val="24"/>
              </w:rPr>
              <w:t>ĐVT</w:t>
            </w:r>
          </w:p>
        </w:tc>
        <w:tc>
          <w:tcPr>
            <w:tcW w:w="123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276" w:before="80" w:after="80"/>
              <w:jc w:val="both"/>
              <w:rPr>
                <w:rFonts w:ascii="Times New Roman" w:hAnsi="Times New Roman" w:eastAsia="Times New Roman" w:cs="Times New Roman"/>
                <w:b/>
                <w:bCs/>
                <w:i/>
                <w:iCs/>
                <w:sz w:val="24"/>
                <w:szCs w:val="24"/>
              </w:rPr>
            </w:pPr>
            <w:r>
              <w:rPr>
                <w:rFonts w:eastAsia="Times New Roman" w:cs="Times New Roman" w:ascii="Times New Roman" w:hAnsi="Times New Roman"/>
                <w:b/>
                <w:bCs/>
                <w:sz w:val="24"/>
                <w:szCs w:val="24"/>
              </w:rPr>
              <w:t>Số Lượng</w:t>
            </w:r>
          </w:p>
        </w:tc>
      </w:tr>
      <w:tr>
        <w:trPr>
          <w:trHeight w:val="518" w:hRule="atLeast"/>
        </w:trPr>
        <w:tc>
          <w:tcPr>
            <w:tcW w:w="851" w:type="dxa"/>
            <w:tcBorders>
              <w:top w:val="single" w:sz="4" w:space="0" w:color="000000"/>
              <w:start w:val="single" w:sz="4" w:space="0" w:color="000000"/>
              <w:bottom w:val="single" w:sz="4" w:space="0" w:color="000000"/>
              <w:end w:val="single" w:sz="4" w:space="0" w:color="000000"/>
            </w:tcBorders>
            <w:shd w:fill="auto" w:val="clear"/>
            <w:vAlign w:val="center"/>
          </w:tcPr>
          <w:p>
            <w:pPr>
              <w:pStyle w:val="normal1"/>
              <w:spacing w:lineRule="auto" w:line="276" w:before="80" w:after="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{#lineItems}{stt}</w:t>
            </w:r>
          </w:p>
        </w:tc>
        <w:tc>
          <w:tcPr>
            <w:tcW w:w="6525" w:type="dxa"/>
            <w:tcBorders>
              <w:top w:val="single" w:sz="4" w:space="0" w:color="000000"/>
              <w:start w:val="single" w:sz="4" w:space="0" w:color="000000"/>
              <w:bottom w:val="single" w:sz="4" w:space="0" w:color="000000"/>
              <w:end w:val="single" w:sz="4" w:space="0" w:color="000000"/>
            </w:tcBorders>
            <w:shd w:fill="auto" w:val="clear"/>
            <w:vAlign w:val="center"/>
          </w:tcPr>
          <w:p>
            <w:pPr>
              <w:pStyle w:val="normal1"/>
              <w:spacing w:lineRule="auto" w:line="276" w:before="80" w:after="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c>
          <w:tcPr>
            <w:tcW w:w="114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80" w:after="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{unit}</w:t>
            </w:r>
          </w:p>
        </w:tc>
        <w:tc>
          <w:tcPr>
            <w:tcW w:w="1231" w:type="dxa"/>
            <w:tcBorders>
              <w:top w:val="single" w:sz="4" w:space="0" w:color="000000"/>
              <w:start w:val="single" w:sz="4" w:space="0" w:color="000000"/>
              <w:bottom w:val="single" w:sz="4" w:space="0" w:color="000000"/>
              <w:end w:val="single" w:sz="4" w:space="0" w:color="000000"/>
            </w:tcBorders>
            <w:shd w:fill="auto" w:val="clear"/>
            <w:vAlign w:val="center"/>
          </w:tcPr>
          <w:p>
            <w:pPr>
              <w:pStyle w:val="normal1"/>
              <w:spacing w:lineRule="auto" w:line="276" w:before="80" w:after="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{quantity}{/lineItems}</w:t>
            </w:r>
          </w:p>
        </w:tc>
      </w:tr>
    </w:tbl>
    <w:p>
      <w:pPr>
        <w:pStyle w:val="normal1"/>
        <w:keepNext w:val="false"/>
        <w:keepLines w:val="false"/>
        <w:pageBreakBefore w:val="false"/>
        <w:widowControl/>
        <w:numPr>
          <w:ilvl w:val="6"/>
          <w:numId w:val="4"/>
        </w:numPr>
        <w:pBdr/>
        <w:shd w:val="clear" w:fill="auto"/>
        <w:spacing w:lineRule="auto" w:line="276" w:before="120" w:after="12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Chi tiết Quyền Lợi được hưởng của Bên B:</w:t>
      </w:r>
    </w:p>
    <w:tbl>
      <w:tblPr>
        <w:tblStyle w:val="Table9"/>
        <w:tblW w:w="9805" w:type="dxa"/>
        <w:jc w:val="center"/>
        <w:tblInd w:w="0" w:type="dxa"/>
        <w:tblLayout w:type="fixed"/>
        <w:tblCellMar>
          <w:top w:w="0" w:type="dxa"/>
          <w:start w:w="108" w:type="dxa"/>
          <w:bottom w:w="0" w:type="dxa"/>
          <w:end w:w="108" w:type="dxa"/>
        </w:tblCellMar>
        <w:tblLook w:val="0400"/>
      </w:tblPr>
      <w:tblGrid>
        <w:gridCol w:w="809"/>
        <w:gridCol w:w="6655"/>
        <w:gridCol w:w="1081"/>
        <w:gridCol w:w="1260"/>
      </w:tblGrid>
      <w:tr>
        <w:trPr>
          <w:trHeight w:val="455" w:hRule="atLeast"/>
        </w:trPr>
        <w:tc>
          <w:tcPr>
            <w:tcW w:w="80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276" w:before="80" w:after="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STT</w:t>
            </w:r>
          </w:p>
        </w:tc>
        <w:tc>
          <w:tcPr>
            <w:tcW w:w="665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276" w:before="80" w:after="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QUYỀN LỢI</w:t>
            </w:r>
          </w:p>
        </w:tc>
        <w:tc>
          <w:tcPr>
            <w:tcW w:w="108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276" w:before="80" w:after="80"/>
              <w:jc w:val="both"/>
              <w:rPr>
                <w:rFonts w:ascii="Times New Roman" w:hAnsi="Times New Roman" w:eastAsia="Times New Roman" w:cs="Times New Roman"/>
                <w:b/>
                <w:bCs/>
                <w:i/>
                <w:iCs/>
                <w:sz w:val="24"/>
                <w:szCs w:val="24"/>
              </w:rPr>
            </w:pPr>
            <w:r>
              <w:rPr>
                <w:rFonts w:eastAsia="Times New Roman" w:cs="Times New Roman" w:ascii="Times New Roman" w:hAnsi="Times New Roman"/>
                <w:b/>
                <w:bCs/>
                <w:sz w:val="24"/>
                <w:szCs w:val="24"/>
              </w:rPr>
              <w:t>ĐVT</w:t>
            </w:r>
          </w:p>
        </w:tc>
        <w:tc>
          <w:tcPr>
            <w:tcW w:w="126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276" w:before="80" w:after="80"/>
              <w:jc w:val="both"/>
              <w:rPr>
                <w:rFonts w:ascii="Times New Roman" w:hAnsi="Times New Roman" w:eastAsia="Times New Roman" w:cs="Times New Roman"/>
                <w:b/>
                <w:bCs/>
                <w:i/>
                <w:iCs/>
                <w:sz w:val="24"/>
                <w:szCs w:val="24"/>
              </w:rPr>
            </w:pPr>
            <w:r>
              <w:rPr>
                <w:rFonts w:eastAsia="Times New Roman" w:cs="Times New Roman" w:ascii="Times New Roman" w:hAnsi="Times New Roman"/>
                <w:b/>
                <w:bCs/>
                <w:sz w:val="24"/>
                <w:szCs w:val="24"/>
              </w:rPr>
              <w:t>Số Lượng</w:t>
            </w:r>
          </w:p>
        </w:tc>
      </w:tr>
      <w:tr>
        <w:trPr>
          <w:trHeight w:val="518" w:hRule="atLeast"/>
        </w:trPr>
        <w:tc>
          <w:tcPr>
            <w:tcW w:w="809" w:type="dxa"/>
            <w:tcBorders>
              <w:top w:val="single" w:sz="4" w:space="0" w:color="000000"/>
              <w:start w:val="single" w:sz="4" w:space="0" w:color="000000"/>
              <w:bottom w:val="single" w:sz="4" w:space="0" w:color="000000"/>
              <w:end w:val="single" w:sz="4" w:space="0" w:color="000000"/>
            </w:tcBorders>
            <w:shd w:fill="auto" w:val="clear"/>
            <w:vAlign w:val="center"/>
          </w:tcPr>
          <w:p>
            <w:pPr>
              <w:pStyle w:val="normal1"/>
              <w:spacing w:lineRule="auto" w:line="276" w:before="80" w:after="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w:t>
            </w:r>
          </w:p>
        </w:tc>
        <w:tc>
          <w:tcPr>
            <w:tcW w:w="6655" w:type="dxa"/>
            <w:tcBorders>
              <w:top w:val="single" w:sz="4" w:space="0" w:color="000000"/>
              <w:start w:val="single" w:sz="4" w:space="0" w:color="000000"/>
              <w:bottom w:val="single" w:sz="4" w:space="0" w:color="000000"/>
              <w:end w:val="single" w:sz="4" w:space="0" w:color="000000"/>
            </w:tcBorders>
            <w:shd w:fill="auto" w:val="clear"/>
            <w:vAlign w:val="center"/>
          </w:tcPr>
          <w:p>
            <w:pPr>
              <w:pStyle w:val="normal1"/>
              <w:spacing w:lineRule="auto" w:line="276" w:before="80" w:after="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Đảm bảo link đăng ký chính thức của sự kiện được gắn vào tất cả các bài viết liên quan đến Bán vé trên hệ sinh thái của bên A</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before="80" w:after="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Sự kiện</w:t>
            </w:r>
          </w:p>
        </w:tc>
        <w:tc>
          <w:tcPr>
            <w:tcW w:w="1260" w:type="dxa"/>
            <w:tcBorders>
              <w:top w:val="single" w:sz="4" w:space="0" w:color="000000"/>
              <w:start w:val="single" w:sz="4" w:space="0" w:color="000000"/>
              <w:bottom w:val="single" w:sz="4" w:space="0" w:color="000000"/>
              <w:end w:val="single" w:sz="4" w:space="0" w:color="000000"/>
            </w:tcBorders>
            <w:shd w:fill="auto" w:val="clear"/>
            <w:vAlign w:val="center"/>
          </w:tcPr>
          <w:p>
            <w:pPr>
              <w:pStyle w:val="normal1"/>
              <w:spacing w:lineRule="auto" w:line="276" w:before="80" w:after="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01</w:t>
            </w:r>
          </w:p>
        </w:tc>
      </w:tr>
    </w:tbl>
    <w:p>
      <w:pPr>
        <w:pStyle w:val="normal1"/>
        <w:keepNext w:val="false"/>
        <w:keepLines w:val="false"/>
        <w:pageBreakBefore w:val="false"/>
        <w:widowControl/>
        <w:numPr>
          <w:ilvl w:val="6"/>
          <w:numId w:val="4"/>
        </w:numPr>
        <w:pBdr/>
        <w:shd w:val="clear" w:fill="auto"/>
        <w:spacing w:lineRule="auto" w:line="276" w:before="120" w:after="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Phụ lục này là 01 phần không thể thiếu của Hợp đồng, các điều khoản khác không có trong Phụ lục này sẽ được thực hiện theo Hợp đồng.</w:t>
      </w:r>
    </w:p>
    <w:p>
      <w:pPr>
        <w:pStyle w:val="normal1"/>
        <w:keepNext w:val="false"/>
        <w:keepLines w:val="false"/>
        <w:pageBreakBefore w:val="false"/>
        <w:widowControl/>
        <w:numPr>
          <w:ilvl w:val="6"/>
          <w:numId w:val="4"/>
        </w:numPr>
        <w:pBdr/>
        <w:shd w:val="clear" w:fill="auto"/>
        <w:spacing w:lineRule="auto" w:line="276" w:before="0" w:after="120"/>
        <w:ind w:hanging="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Phụ lục này được lập thành 02 (hai) bản, mỗi bên giữ 01 (một) bản và có có hiệu lực pháp lý như nhau kể từ ngày ký.</w:t>
      </w:r>
    </w:p>
    <w:p>
      <w:pPr>
        <w:pStyle w:val="normal1"/>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10"/>
        <w:tblW w:w="9781" w:type="dxa"/>
        <w:jc w:val="center"/>
        <w:tblInd w:w="0" w:type="dxa"/>
        <w:tblLayout w:type="fixed"/>
        <w:tblCellMar>
          <w:top w:w="0" w:type="dxa"/>
          <w:start w:w="108" w:type="dxa"/>
          <w:bottom w:w="0" w:type="dxa"/>
          <w:end w:w="108" w:type="dxa"/>
        </w:tblCellMar>
        <w:tblLook w:val="0400"/>
      </w:tblPr>
      <w:tblGrid>
        <w:gridCol w:w="5388"/>
        <w:gridCol w:w="4393"/>
      </w:tblGrid>
      <w:tr>
        <w:trPr/>
        <w:tc>
          <w:tcPr>
            <w:tcW w:w="5388" w:type="dxa"/>
            <w:tcBorders/>
          </w:tcPr>
          <w:p>
            <w:pPr>
              <w:pStyle w:val="normal1"/>
              <w:spacing w:lineRule="auto" w:line="276"/>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ĐẠI DIỆN BÊN SỬ DỤNG</w:t>
            </w:r>
          </w:p>
          <w:p>
            <w:pPr>
              <w:pStyle w:val="normal1"/>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393" w:type="dxa"/>
            <w:tcBorders/>
          </w:tcPr>
          <w:p>
            <w:pPr>
              <w:pStyle w:val="normal1"/>
              <w:spacing w:lineRule="auto" w:line="276"/>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ĐẠI DIỆN BÊN CUNG CẤP</w:t>
            </w:r>
          </w:p>
          <w:p>
            <w:pPr>
              <w:pStyle w:val="normal1"/>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{provider.entityName}</w:t>
            </w:r>
          </w:p>
        </w:tc>
      </w:tr>
      <w:tr>
        <w:trPr>
          <w:trHeight w:val="2549" w:hRule="atLeast"/>
        </w:trPr>
        <w:tc>
          <w:tcPr>
            <w:tcW w:w="5388" w:type="dxa"/>
            <w:tcBorders/>
          </w:tcPr>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bookmarkStart w:id="2" w:name="_heading=h.vbj1jncqv9bp"/>
            <w:bookmarkEnd w:id="2"/>
            <w:r>
              <w:rPr>
                <w:rFonts w:eastAsia="Times New Roman" w:cs="Times New Roman" w:ascii="Times New Roman" w:hAnsi="Times New Roman"/>
                <w:sz w:val="24"/>
                <w:szCs w:val="24"/>
              </w:rPr>
              <w:t>Ông:</w:t>
            </w:r>
          </w:p>
          <w:p>
            <w:pPr>
              <w:pStyle w:val="normal1"/>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Chức vụ: {provider.position}</w:t>
            </w:r>
          </w:p>
        </w:tc>
        <w:tc>
          <w:tcPr>
            <w:tcW w:w="4393" w:type="dxa"/>
            <w:tcBorders/>
          </w:tcPr>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Ông: </w:t>
            </w:r>
            <w:r>
              <w:rPr>
                <w:rFonts w:eastAsia="Times New Roman" w:cs="Times New Roman" w:ascii="Times New Roman" w:hAnsi="Times New Roman"/>
                <w:b/>
                <w:bCs/>
                <w:sz w:val="24"/>
                <w:szCs w:val="24"/>
              </w:rPr>
              <w:t>{provider.representative}</w:t>
            </w:r>
          </w:p>
          <w:p>
            <w:pPr>
              <w:pStyle w:val="normal1"/>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Chức vụ: {provider.position}</w:t>
            </w:r>
          </w:p>
        </w:tc>
      </w:tr>
    </w:tbl>
    <w:p>
      <w:pPr>
        <w:pStyle w:val="normal1"/>
        <w:spacing w:lineRule="auto" w:line="24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Play">
    <w:charset w:val="01" w:characterSet="utf-8"/>
    <w:family w:val="roman"/>
    <w:pitch w:val="variable"/>
  </w:font>
  <w:font w:name="Aptos Display">
    <w:charset w:val="01" w:characterSet="utf-8"/>
    <w:family w:val="roman"/>
    <w:pitch w:val="variable"/>
  </w:font>
  <w:font w:name="Segoe U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MS Gothic">
    <w:charset w:val="01" w:characterSet="utf-8"/>
    <w:family w:val="roman"/>
    <w:pitch w:val="variable"/>
  </w:font>
  <w:font w:name="quo">
    <w:charset w:val="01" w:characterSet="utf-8"/>
    <w:family w:val="roman"/>
    <w:pitch w:val="variable"/>
  </w:font>
  <w:font w:name="Courier New">
    <w:charset w:val="01"/>
    <w:family w:val="modern"/>
    <w:pitch w:val="fixed"/>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end"/>
      <w:rPr>
        <w:rFonts w:ascii="Aptos" w:hAnsi="Apto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14</w:t>
    </w:r>
    <w:r>
      <w:rPr/>
      <w:fldChar w:fldCharType="end"/>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Aptos" w:hAnsi="Apto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Aptos" w:hAnsi="Apto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Aptos" w:hAnsi="Apto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s">
          <w:drawing>
            <wp:anchor distT="0" distB="0" distL="114300" distR="0" simplePos="0" relativeHeight="18" behindDoc="1" locked="0" layoutInCell="0" allowOverlap="1">
              <wp:simplePos x="0" y="0"/>
              <wp:positionH relativeFrom="margin">
                <wp:align>center</wp:align>
              </wp:positionH>
              <wp:positionV relativeFrom="margin">
                <wp:align>center</wp:align>
              </wp:positionV>
              <wp:extent cx="28575" cy="14605"/>
              <wp:effectExtent l="2778760" t="0" r="0" b="0"/>
              <wp:wrapNone/>
              <wp:docPr id="2" name=""/>
              <a:graphic xmlns:a="http://schemas.openxmlformats.org/drawingml/2006/main">
                <a:graphicData uri="http://schemas.microsoft.com/office/word/2010/wordprocessingShape">
                  <wps:wsp>
                    <wps:cNvSpPr txBox="1"/>
                    <wps:spPr>
                      <a:xfrm rot="18900000">
                        <a:off x="0" y="0"/>
                        <a:ext cx="28440" cy="14760"/>
                      </a:xfrm>
                      <a:prstGeom prst="rect">
                        <a:avLst/>
                      </a:prstGeom>
                    </wps:spPr>
                    <wps:txbx>
                      <w:txbxContent>
                        <w:p>
                          <w:pPr>
                            <w:overflowPunct w:val="false"/>
                            <w:spacing w:lineRule="auto" w:line="240" w:before="0" w:after="0"/>
                            <w:rPr/>
                          </w:pPr>
                          <w:r>
                            <w:rPr>
                              <w:rFonts w:ascii="quo" w:hAnsi="quo"/>
                              <w:color w:val="F2F2F2"/>
                              <w:sz w:val="2"/>
                              <w14:textOutline w14:w="0" w14:cap="flat" w14:cmpd="sng">
                                <w14:noFill/>
                                <w14:round/>
                              </w14:textOutline>
                              <w14:textFill>
                                <w14:solidFill>
                                  <w14:srgbClr w14:val="f2f2f2">
                                    <w14:alpha w14:val="50000"/>
                                  </w14:srgbClr>
                                </w14:solidFill>
                              </w14:textFill>
                            </w:rPr>
                            <w:t>5BIB</w:t>
                          </w:r>
                        </w:p>
                      </w:txbxContent>
                    </wps:txbx>
                    <wps:bodyPr wrap="square" lIns="0" tIns="0" rIns="0" bIns="0" anchor="t">
                      <a:prstTxWarp prst="textPlain"/>
                      <a:noAutofit/>
                    </wps:bodyPr>
                  </wps:wsp>
                </a:graphicData>
              </a:graphic>
            </wp:anchor>
          </w:drawing>
        </mc:Choice>
        <mc:Fallback>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Aptos" w:hAnsi="Apto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s">
          <w:drawing>
            <wp:anchor distT="0" distB="0" distL="114300" distR="0" simplePos="0" relativeHeight="16" behindDoc="1" locked="0" layoutInCell="0" allowOverlap="1">
              <wp:simplePos x="0" y="0"/>
              <wp:positionH relativeFrom="margin">
                <wp:align>center</wp:align>
              </wp:positionH>
              <wp:positionV relativeFrom="margin">
                <wp:align>center</wp:align>
              </wp:positionV>
              <wp:extent cx="28575" cy="14605"/>
              <wp:effectExtent l="2778760" t="0" r="0" b="0"/>
              <wp:wrapNone/>
              <wp:docPr id="3" name=""/>
              <a:graphic xmlns:a="http://schemas.openxmlformats.org/drawingml/2006/main">
                <a:graphicData uri="http://schemas.microsoft.com/office/word/2010/wordprocessingShape">
                  <wps:wsp>
                    <wps:cNvSpPr txBox="1"/>
                    <wps:spPr>
                      <a:xfrm rot="18900000">
                        <a:off x="0" y="0"/>
                        <a:ext cx="28440" cy="14760"/>
                      </a:xfrm>
                      <a:prstGeom prst="rect">
                        <a:avLst/>
                      </a:prstGeom>
                    </wps:spPr>
                    <wps:txbx>
                      <w:txbxContent>
                        <w:p>
                          <w:pPr>
                            <w:overflowPunct w:val="false"/>
                            <w:spacing w:lineRule="auto" w:line="240" w:before="0" w:after="0"/>
                            <w:rPr/>
                          </w:pPr>
                          <w:r>
                            <w:rPr>
                              <w:rFonts w:ascii="quo" w:hAnsi="quo"/>
                              <w:color w:val="F2F2F2"/>
                              <w:sz w:val="2"/>
                              <w14:textOutline w14:w="0" w14:cap="flat" w14:cmpd="sng">
                                <w14:noFill/>
                                <w14:round/>
                              </w14:textOutline>
                              <w14:textFill>
                                <w14:solidFill>
                                  <w14:srgbClr w14:val="f2f2f2">
                                    <w14:alpha w14:val="50000"/>
                                  </w14:srgbClr>
                                </w14:solidFill>
                              </w14:textFill>
                            </w:rPr>
                            <w:t>5BIB</w:t>
                          </w:r>
                        </w:p>
                      </w:txbxContent>
                    </wps:txbx>
                    <wps:bodyPr wrap="square" lIns="0" tIns="0" rIns="0" bIns="0" anchor="t">
                      <a:prstTxWarp prst="textPlain"/>
                      <a:noAutofit/>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Aptos" w:hAnsi="Apto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mc:AlternateContent>
        <mc:Choice Requires="wps">
          <w:drawing>
            <wp:anchor distT="0" distB="0" distL="114300" distR="0" simplePos="0" relativeHeight="17" behindDoc="1" locked="0" layoutInCell="0" allowOverlap="1">
              <wp:simplePos x="0" y="0"/>
              <wp:positionH relativeFrom="margin">
                <wp:align>center</wp:align>
              </wp:positionH>
              <wp:positionV relativeFrom="margin">
                <wp:align>center</wp:align>
              </wp:positionV>
              <wp:extent cx="28575" cy="14605"/>
              <wp:effectExtent l="2778760" t="0" r="0" b="0"/>
              <wp:wrapNone/>
              <wp:docPr id="4" name=""/>
              <a:graphic xmlns:a="http://schemas.openxmlformats.org/drawingml/2006/main">
                <a:graphicData uri="http://schemas.microsoft.com/office/word/2010/wordprocessingShape">
                  <wps:wsp>
                    <wps:cNvSpPr txBox="1"/>
                    <wps:spPr>
                      <a:xfrm rot="18900000">
                        <a:off x="0" y="0"/>
                        <a:ext cx="28440" cy="14760"/>
                      </a:xfrm>
                      <a:prstGeom prst="rect">
                        <a:avLst/>
                      </a:prstGeom>
                    </wps:spPr>
                    <wps:txbx>
                      <w:txbxContent>
                        <w:p>
                          <w:pPr>
                            <w:overflowPunct w:val="false"/>
                            <w:spacing w:lineRule="auto" w:line="240" w:before="0" w:after="0"/>
                            <w:rPr/>
                          </w:pPr>
                          <w:r>
                            <w:rPr>
                              <w:rFonts w:ascii="quo" w:hAnsi="quo"/>
                              <w:color w:val="F2F2F2"/>
                              <w:sz w:val="2"/>
                              <w14:textOutline w14:w="0" w14:cap="flat" w14:cmpd="sng">
                                <w14:noFill/>
                                <w14:round/>
                              </w14:textOutline>
                              <w14:textFill>
                                <w14:solidFill>
                                  <w14:srgbClr w14:val="f2f2f2">
                                    <w14:alpha w14:val="50000"/>
                                  </w14:srgbClr>
                                </w14:solidFill>
                              </w14:textFill>
                            </w:rPr>
                            <w:t>5BIB</w:t>
                          </w:r>
                        </w:p>
                      </w:txbxContent>
                    </wps:txbx>
                    <wps:bodyPr wrap="square" lIns="0" tIns="0" rIns="0" bIns="0" anchor="t">
                      <a:prstTxWarp prst="textPlain"/>
                      <a:noAutofit/>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Times New Roman" w:hAnsi="Times New Roman" w:cs="Times New Roman" w:hint="default"/>
        <w:i w:val="false"/>
        <w:iCs w:val="false"/>
        <w:sz w:val="26"/>
        <w:szCs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6">
    <w:lvl w:ilvl="0">
      <w:start w:val="1"/>
      <w:numFmt w:val="decimal"/>
      <w:lvlText w:val="ĐIỀU %1."/>
      <w:lvlJc w:val="start"/>
      <w:pPr>
        <w:tabs>
          <w:tab w:val="num" w:pos="0"/>
        </w:tabs>
        <w:ind w:start="720" w:hanging="360"/>
      </w:pPr>
      <w:rPr/>
    </w:lvl>
    <w:lvl w:ilvl="1">
      <w:start w:val="1"/>
      <w:numFmt w:val="decimal"/>
      <w:lvlText w:val="%1.%2."/>
      <w:lvlJc w:val="start"/>
      <w:pPr>
        <w:tabs>
          <w:tab w:val="num" w:pos="0"/>
        </w:tabs>
        <w:ind w:start="1440" w:hanging="360"/>
      </w:pPr>
      <w:rPr>
        <w:b w:val="false"/>
        <w:bCs w:val="false"/>
      </w:rPr>
    </w:lvl>
    <w:lvl w:ilvl="2">
      <w:start w:val="1"/>
      <w:numFmt w:val="lowerLetter"/>
      <w:lvlText w:val="%3)."/>
      <w:lvlJc w:val="start"/>
      <w:pPr>
        <w:tabs>
          <w:tab w:val="num" w:pos="0"/>
        </w:tabs>
        <w:ind w:start="2160" w:hanging="180"/>
      </w:pPr>
      <w:rPr>
        <w:b w:val="false"/>
        <w:bCs w:val="false"/>
      </w:rPr>
    </w:lvl>
    <w:lvl w:ilvl="3">
      <w:start w:val="1"/>
      <w:numFmt w:val="bullet"/>
      <w:lvlText w:val="o"/>
      <w:lvlJc w:val="start"/>
      <w:pPr>
        <w:tabs>
          <w:tab w:val="num" w:pos="0"/>
        </w:tabs>
        <w:ind w:start="2880" w:hanging="360"/>
      </w:pPr>
      <w:rPr>
        <w:rFonts w:ascii="Courier New" w:hAnsi="Courier New" w:cs="Courier New" w:hint="default"/>
        <w:b w:val="false"/>
        <w:bCs w:val="false"/>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2"/>
      <w:numFmt w:val="decimal"/>
      <w:lvlText w:val="%1.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decimal"/>
      <w:lvlText w:val="2.%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Aptos" w:hAnsi="Aptos" w:eastAsia="Aptos" w:cs="Aptos"/>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7">
    <w:name w:val="heading 7"/>
    <w:basedOn w:val="normal1"/>
    <w:next w:val="normal1"/>
    <w:link w:val="Heading7Char"/>
    <w:uiPriority w:val="9"/>
    <w:semiHidden/>
    <w:unhideWhenUsed/>
    <w:qFormat/>
    <w:rsid w:val="0011443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1"/>
    <w:next w:val="normal1"/>
    <w:link w:val="Heading8Char"/>
    <w:uiPriority w:val="9"/>
    <w:semiHidden/>
    <w:unhideWhenUsed/>
    <w:qFormat/>
    <w:rsid w:val="0011443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1"/>
    <w:next w:val="normal1"/>
    <w:link w:val="Heading9Char"/>
    <w:uiPriority w:val="9"/>
    <w:semiHidden/>
    <w:unhideWhenUsed/>
    <w:qFormat/>
    <w:rsid w:val="0011443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1443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11443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11443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1443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1443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1443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1443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1443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1443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1443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1443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14437"/>
    <w:rPr>
      <w:i/>
      <w:iCs/>
      <w:color w:themeColor="text1" w:themeTint="bf" w:val="404040"/>
    </w:rPr>
  </w:style>
  <w:style w:type="character" w:styleId="IntenseEmphasis">
    <w:name w:val="Intense Emphasis"/>
    <w:basedOn w:val="DefaultParagraphFont"/>
    <w:uiPriority w:val="21"/>
    <w:qFormat/>
    <w:rsid w:val="00114437"/>
    <w:rPr>
      <w:i/>
      <w:iCs/>
      <w:color w:themeColor="accent1" w:themeShade="bf" w:val="0F4761"/>
    </w:rPr>
  </w:style>
  <w:style w:type="character" w:styleId="IntenseQuoteChar" w:customStyle="1">
    <w:name w:val="Intense Quote Char"/>
    <w:basedOn w:val="DefaultParagraphFont"/>
    <w:link w:val="IntenseQuote"/>
    <w:uiPriority w:val="30"/>
    <w:qFormat/>
    <w:rsid w:val="00114437"/>
    <w:rPr>
      <w:i/>
      <w:iCs/>
      <w:color w:themeColor="accent1" w:themeShade="bf" w:val="0F4761"/>
    </w:rPr>
  </w:style>
  <w:style w:type="character" w:styleId="IntenseReference">
    <w:name w:val="Intense Reference"/>
    <w:basedOn w:val="DefaultParagraphFont"/>
    <w:uiPriority w:val="32"/>
    <w:qFormat/>
    <w:rsid w:val="00114437"/>
    <w:rPr>
      <w:b/>
      <w:bCs/>
      <w:smallCaps/>
      <w:color w:themeColor="accent1" w:themeShade="bf" w:val="0F4761"/>
      <w:spacing w:val="5"/>
    </w:rPr>
  </w:style>
  <w:style w:type="character" w:styleId="BalloonTextChar" w:customStyle="1">
    <w:name w:val="Balloon Text Char"/>
    <w:basedOn w:val="DefaultParagraphFont"/>
    <w:link w:val="BalloonText"/>
    <w:uiPriority w:val="99"/>
    <w:semiHidden/>
    <w:qFormat/>
    <w:rsid w:val="004e3aba"/>
    <w:rPr>
      <w:rFonts w:ascii="Segoe UI" w:hAnsi="Segoe UI" w:cs="Segoe UI"/>
      <w:sz w:val="18"/>
      <w:szCs w:val="18"/>
    </w:rPr>
  </w:style>
  <w:style w:type="character" w:styleId="CommentReference">
    <w:name w:val="annotation reference"/>
    <w:basedOn w:val="DefaultParagraphFont"/>
    <w:uiPriority w:val="99"/>
    <w:semiHidden/>
    <w:unhideWhenUsed/>
    <w:qFormat/>
    <w:rsid w:val="00b10ee5"/>
    <w:rPr>
      <w:sz w:val="16"/>
      <w:szCs w:val="16"/>
    </w:rPr>
  </w:style>
  <w:style w:type="character" w:styleId="CommentTextChar" w:customStyle="1">
    <w:name w:val="Comment Text Char"/>
    <w:basedOn w:val="DefaultParagraphFont"/>
    <w:link w:val="CommentText"/>
    <w:uiPriority w:val="99"/>
    <w:semiHidden/>
    <w:qFormat/>
    <w:rsid w:val="00b10ee5"/>
    <w:rPr>
      <w:sz w:val="20"/>
      <w:szCs w:val="20"/>
    </w:rPr>
  </w:style>
  <w:style w:type="character" w:styleId="CommentSubjectChar" w:customStyle="1">
    <w:name w:val="Comment Subject Char"/>
    <w:basedOn w:val="CommentTextChar"/>
    <w:link w:val="annotationsubject"/>
    <w:uiPriority w:val="99"/>
    <w:semiHidden/>
    <w:qFormat/>
    <w:rsid w:val="00b10ee5"/>
    <w:rPr>
      <w:b/>
      <w:bCs/>
      <w:sz w:val="20"/>
      <w:szCs w:val="20"/>
    </w:rPr>
  </w:style>
  <w:style w:type="character" w:styleId="NoSpacingChar" w:customStyle="1">
    <w:name w:val="No Spacing Char"/>
    <w:basedOn w:val="DefaultParagraphFont"/>
    <w:link w:val="NoSpacing"/>
    <w:uiPriority w:val="1"/>
    <w:qFormat/>
    <w:rsid w:val="00d51541"/>
    <w:rPr>
      <w:rFonts w:ascii="Aptos" w:hAnsi="Aptos" w:eastAsia="" w:cs="" w:asciiTheme="minorHAnsi" w:cstheme="minorBidi" w:eastAsiaTheme="minorEastAsia" w:hAnsiTheme="minorHAnsi"/>
      <w:lang w:val="en-US"/>
    </w:rPr>
  </w:style>
  <w:style w:type="character" w:styleId="HeaderChar" w:customStyle="1">
    <w:name w:val="Header Char"/>
    <w:basedOn w:val="DefaultParagraphFont"/>
    <w:link w:val="Header"/>
    <w:uiPriority w:val="99"/>
    <w:qFormat/>
    <w:rsid w:val="001148c9"/>
    <w:rPr/>
  </w:style>
  <w:style w:type="character" w:styleId="FooterChar" w:customStyle="1">
    <w:name w:val="Footer Char"/>
    <w:basedOn w:val="DefaultParagraphFont"/>
    <w:link w:val="Footer"/>
    <w:uiPriority w:val="99"/>
    <w:qFormat/>
    <w:rsid w:val="001148c9"/>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lineRule="auto" w:line="259" w:before="0" w:after="160"/>
      <w:jc w:val="start"/>
    </w:pPr>
    <w:rPr>
      <w:rFonts w:ascii="Aptos" w:hAnsi="Aptos" w:eastAsia="Aptos" w:cs="Aptos"/>
      <w:color w:val="auto"/>
      <w:kern w:val="0"/>
      <w:sz w:val="22"/>
      <w:szCs w:val="22"/>
      <w:lang w:val="en-US"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Quote">
    <w:name w:val="Quote"/>
    <w:basedOn w:val="normal1"/>
    <w:next w:val="normal1"/>
    <w:link w:val="QuoteChar"/>
    <w:uiPriority w:val="29"/>
    <w:qFormat/>
    <w:rsid w:val="00114437"/>
    <w:pPr>
      <w:spacing w:before="160" w:after="160"/>
      <w:jc w:val="center"/>
    </w:pPr>
    <w:rPr>
      <w:i/>
      <w:iCs/>
      <w:color w:themeColor="text1" w:themeTint="bf" w:val="404040"/>
    </w:rPr>
  </w:style>
  <w:style w:type="paragraph" w:styleId="ListParagraph">
    <w:name w:val="List Paragraph"/>
    <w:basedOn w:val="normal1"/>
    <w:uiPriority w:val="34"/>
    <w:qFormat/>
    <w:rsid w:val="00114437"/>
    <w:pPr>
      <w:spacing w:before="0" w:after="160"/>
      <w:ind w:start="720"/>
      <w:contextualSpacing/>
    </w:pPr>
    <w:rPr/>
  </w:style>
  <w:style w:type="paragraph" w:styleId="IntenseQuote">
    <w:name w:val="Intense Quote"/>
    <w:basedOn w:val="normal1"/>
    <w:next w:val="normal1"/>
    <w:link w:val="IntenseQuoteChar"/>
    <w:uiPriority w:val="30"/>
    <w:qFormat/>
    <w:rsid w:val="0011443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Revision">
    <w:name w:val="Revision"/>
    <w:uiPriority w:val="99"/>
    <w:semiHidden/>
    <w:qFormat/>
    <w:rsid w:val="00884d08"/>
    <w:pPr>
      <w:widowControl/>
      <w:bidi w:val="0"/>
      <w:spacing w:lineRule="auto" w:line="240" w:before="0" w:after="0"/>
      <w:jc w:val="start"/>
    </w:pPr>
    <w:rPr>
      <w:rFonts w:ascii="Aptos" w:hAnsi="Aptos" w:eastAsia="Aptos" w:cs="Aptos"/>
      <w:color w:val="auto"/>
      <w:kern w:val="0"/>
      <w:sz w:val="22"/>
      <w:szCs w:val="22"/>
      <w:lang w:val="en-US" w:eastAsia="zh-CN" w:bidi="hi-IN"/>
    </w:rPr>
  </w:style>
  <w:style w:type="paragraph" w:styleId="BalloonText">
    <w:name w:val="Balloon Text"/>
    <w:basedOn w:val="normal1"/>
    <w:link w:val="BalloonTextChar"/>
    <w:uiPriority w:val="99"/>
    <w:semiHidden/>
    <w:unhideWhenUsed/>
    <w:qFormat/>
    <w:rsid w:val="004e3aba"/>
    <w:pPr>
      <w:spacing w:lineRule="auto" w:line="240" w:before="0" w:after="0"/>
    </w:pPr>
    <w:rPr>
      <w:rFonts w:ascii="Segoe UI" w:hAnsi="Segoe UI" w:cs="Segoe UI"/>
      <w:sz w:val="18"/>
      <w:szCs w:val="18"/>
    </w:rPr>
  </w:style>
  <w:style w:type="paragraph" w:styleId="CommentText">
    <w:name w:val="annotation text"/>
    <w:basedOn w:val="normal1"/>
    <w:link w:val="CommentTextChar"/>
    <w:uiPriority w:val="99"/>
    <w:semiHidden/>
    <w:unhideWhenUsed/>
    <w:rsid w:val="00b10ee5"/>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b10ee5"/>
    <w:pPr/>
    <w:rPr>
      <w:b/>
      <w:bCs/>
    </w:rPr>
  </w:style>
  <w:style w:type="paragraph" w:styleId="NoSpacing">
    <w:name w:val="No Spacing"/>
    <w:link w:val="NoSpacingChar"/>
    <w:uiPriority w:val="1"/>
    <w:qFormat/>
    <w:rsid w:val="00d51541"/>
    <w:pPr>
      <w:widowControl/>
      <w:bidi w:val="0"/>
      <w:spacing w:lineRule="auto" w:line="240" w:before="0" w:after="0"/>
      <w:jc w:val="start"/>
    </w:pPr>
    <w:rPr>
      <w:rFonts w:ascii="Aptos" w:hAnsi="Aptos" w:eastAsia="" w:cs="" w:asciiTheme="minorHAnsi" w:cstheme="minorBidi" w:eastAsiaTheme="minorEastAsia" w:hAnsiTheme="minorHAnsi"/>
      <w:color w:val="auto"/>
      <w:kern w:val="0"/>
      <w:sz w:val="22"/>
      <w:szCs w:val="22"/>
      <w:lang w:val="en-US" w:eastAsia="zh-CN" w:bidi="hi-IN"/>
    </w:rPr>
  </w:style>
  <w:style w:type="paragraph" w:styleId="HeaderandFooter">
    <w:name w:val="Header and Footer"/>
    <w:basedOn w:val="Normal"/>
    <w:qFormat/>
    <w:pPr/>
    <w:rPr/>
  </w:style>
  <w:style w:type="paragraph" w:styleId="Header">
    <w:name w:val="header"/>
    <w:basedOn w:val="normal1"/>
    <w:link w:val="HeaderChar"/>
    <w:uiPriority w:val="99"/>
    <w:unhideWhenUsed/>
    <w:rsid w:val="001148c9"/>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1148c9"/>
    <w:pPr>
      <w:tabs>
        <w:tab w:val="clear" w:pos="720"/>
        <w:tab w:val="center" w:pos="4680" w:leader="none"/>
        <w:tab w:val="right" w:pos="9360" w:leader="none"/>
      </w:tabs>
      <w:spacing w:lineRule="auto" w:line="240" w:before="0" w:after="0"/>
    </w:pPr>
    <w:rPr/>
  </w:style>
  <w:style w:type="paragraph" w:styleId="Subtitle">
    <w:name w:val="Subtitle"/>
    <w:basedOn w:val="normal1"/>
    <w:next w:val="normal1"/>
    <w:qFormat/>
    <w:pPr/>
    <w:rPr>
      <w:color w:val="595959"/>
      <w:sz w:val="28"/>
      <w:szCs w:val="2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styleId="TableGrid">
    <w:name w:val="Table Grid"/>
    <w:basedOn w:val="TableNormal"/>
    <w:uiPriority w:val="39"/>
    <w:rsid w:val="001144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OTti5DcLHosseHkpqJqFi0rN/9g==">CgMxLjAyDmguaDc1M2RyMzk4dHppMgloLjMwajB6bGwyDmgudmJqMWpuY3F2OWJwOAByITF0RmVHVExuZlJ3LXE2MjhQR0N0bFdaUnN2UHVhM0g3MQ==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2024-08-01T07:51:00Z</dcterms:created>
  <dc:creator>Hà Nội</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101a9c8-ef71-45dc-a7eb-6586a9826b1a_ActionId">
    <vt:lpwstr>efdbc3ac-cd0b-43c2-9f52-cdc5532ee275</vt:lpwstr>
  </property>
  <property fmtid="{D5CDD505-2E9C-101B-9397-08002B2CF9AE}" pid="3" name="MSIP_Label_3101a9c8-ef71-45dc-a7eb-6586a9826b1a_ContentBits">
    <vt:lpwstr>0</vt:lpwstr>
  </property>
  <property fmtid="{D5CDD505-2E9C-101B-9397-08002B2CF9AE}" pid="4" name="MSIP_Label_3101a9c8-ef71-45dc-a7eb-6586a9826b1a_Enabled">
    <vt:lpwstr>true</vt:lpwstr>
  </property>
  <property fmtid="{D5CDD505-2E9C-101B-9397-08002B2CF9AE}" pid="5" name="MSIP_Label_3101a9c8-ef71-45dc-a7eb-6586a9826b1a_Method">
    <vt:lpwstr>Standard</vt:lpwstr>
  </property>
  <property fmtid="{D5CDD505-2E9C-101B-9397-08002B2CF9AE}" pid="6" name="MSIP_Label_3101a9c8-ef71-45dc-a7eb-6586a9826b1a_Name">
    <vt:lpwstr>3101a9c8-ef71-45dc-a7eb-6586a9826b1a</vt:lpwstr>
  </property>
  <property fmtid="{D5CDD505-2E9C-101B-9397-08002B2CF9AE}" pid="7" name="MSIP_Label_3101a9c8-ef71-45dc-a7eb-6586a9826b1a_SetDate">
    <vt:lpwstr>2024-10-16T03:08:26Z</vt:lpwstr>
  </property>
  <property fmtid="{D5CDD505-2E9C-101B-9397-08002B2CF9AE}" pid="8" name="MSIP_Label_3101a9c8-ef71-45dc-a7eb-6586a9826b1a_SiteId">
    <vt:lpwstr>d6b6b690-08af-4e14-bab6-f83cef2c16e0</vt:lpwstr>
  </property>
</Properties>
</file>