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ind w:end="0"/>
        <w:rPr>
          <w:b/>
          <w:bCs/>
        </w:rPr>
      </w:pPr>
      <w:r>
        <w:rPr>
          <w:b/>
          <w:bCs/>
        </w:rPr>
      </w:r>
    </w:p>
    <w:tbl>
      <w:tblPr>
        <w:tblStyle w:val="a"/>
        <w:tblW w:w="9360" w:type="dxa"/>
        <w:jc w:val="start"/>
        <w:tblInd w:w="0" w:type="dxa"/>
        <w:tblLayout w:type="fixed"/>
        <w:tblCellMar>
          <w:top w:w="0" w:type="dxa"/>
          <w:start w:w="108" w:type="dxa"/>
          <w:bottom w:w="0" w:type="dxa"/>
          <w:end w:w="108" w:type="dxa"/>
        </w:tblCellMar>
        <w:tblLook w:noHBand="0" w:lastColumn="0" w:firstColumn="0" w:lastRow="0" w:firstRow="0" w:noVBand="1" w:val="0400"/>
      </w:tblPr>
      <w:tblGrid>
        <w:gridCol w:w="2195"/>
        <w:gridCol w:w="7165"/>
      </w:tblGrid>
      <w:tr>
        <w:trPr/>
        <w:tc>
          <w:tcPr>
            <w:tcW w:w="2195" w:type="dxa"/>
            <w:vMerge w:val="restart"/>
            <w:tcBorders/>
          </w:tcPr>
          <w:p>
            <w:pPr>
              <w:pStyle w:val="Normal"/>
              <w:ind w:end="0"/>
              <w:rPr>
                <w:b/>
                <w:bCs/>
              </w:rPr>
            </w:pPr>
            <w:r>
              <w:rPr/>
              <w:drawing>
                <wp:inline distT="0" distB="0" distL="0" distR="0">
                  <wp:extent cx="1294130" cy="664845"/>
                  <wp:effectExtent l="0" t="0" r="0" b="0"/>
                  <wp:docPr id="1" name="image1.png" descr="C:\Users\ducln_onemount\AppData\Local\Microsoft\Windows\INetCache\Content.Word\logo-5bi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ducln_onemount\AppData\Local\Microsoft\Windows\INetCache\Content.Word\logo-5bib.png"/>
                          <pic:cNvPicPr>
                            <a:picLocks noChangeAspect="1" noChangeArrowheads="1"/>
                          </pic:cNvPicPr>
                        </pic:nvPicPr>
                        <pic:blipFill>
                          <a:blip r:embed="rId2"/>
                          <a:stretch>
                            <a:fillRect/>
                          </a:stretch>
                        </pic:blipFill>
                        <pic:spPr bwMode="auto">
                          <a:xfrm>
                            <a:off x="0" y="0"/>
                            <a:ext cx="1294130" cy="664845"/>
                          </a:xfrm>
                          <a:prstGeom prst="rect">
                            <a:avLst/>
                          </a:prstGeom>
                          <a:noFill/>
                        </pic:spPr>
                      </pic:pic>
                    </a:graphicData>
                  </a:graphic>
                </wp:inline>
              </w:drawing>
            </w:r>
          </w:p>
        </w:tc>
        <w:tc>
          <w:tcPr>
            <w:tcW w:w="7165" w:type="dxa"/>
            <w:tcBorders/>
          </w:tcPr>
          <w:p>
            <w:pPr>
              <w:pStyle w:val="Normal"/>
              <w:ind w:end="0"/>
              <w:rPr>
                <w:b/>
                <w:bCs/>
              </w:rPr>
            </w:pPr>
            <w:r>
              <w:rPr>
                <w:b/>
                <w:bCs/>
              </w:rPr>
              <w:t>{provider.entityName}</w:t>
            </w:r>
          </w:p>
        </w:tc>
      </w:tr>
      <w:tr>
        <w:trPr/>
        <w:tc>
          <w:tcPr>
            <w:tcW w:w="2195" w:type="dxa"/>
            <w:vMerge w:val="continue"/>
            <w:tcBorders/>
          </w:tcPr>
          <w:p>
            <w:pPr>
              <w:pStyle w:val="Normal"/>
              <w:widowControl w:val="false"/>
              <w:spacing w:lineRule="auto" w:line="276"/>
              <w:ind w:end="0"/>
              <w:rPr>
                <w:b/>
                <w:bCs/>
              </w:rPr>
            </w:pPr>
            <w:r>
              <w:rPr>
                <w:b/>
                <w:bCs/>
              </w:rPr>
            </w:r>
          </w:p>
        </w:tc>
        <w:tc>
          <w:tcPr>
            <w:tcW w:w="7165" w:type="dxa"/>
            <w:tcBorders/>
          </w:tcPr>
          <w:p>
            <w:pPr>
              <w:pStyle w:val="Normal"/>
              <w:ind w:end="0"/>
              <w:rPr>
                <w:b/>
                <w:bCs/>
              </w:rPr>
            </w:pPr>
            <w:r>
              <w:rPr/>
              <w:t>MST: {provider.taxId}</w:t>
            </w:r>
          </w:p>
        </w:tc>
      </w:tr>
      <w:tr>
        <w:trPr/>
        <w:tc>
          <w:tcPr>
            <w:tcW w:w="2195" w:type="dxa"/>
            <w:vMerge w:val="continue"/>
            <w:tcBorders/>
          </w:tcPr>
          <w:p>
            <w:pPr>
              <w:pStyle w:val="Normal"/>
              <w:widowControl w:val="false"/>
              <w:spacing w:lineRule="auto" w:line="276"/>
              <w:ind w:end="0"/>
              <w:rPr>
                <w:b/>
                <w:bCs/>
              </w:rPr>
            </w:pPr>
            <w:r>
              <w:rPr>
                <w:b/>
                <w:bCs/>
              </w:rPr>
            </w:r>
          </w:p>
        </w:tc>
        <w:tc>
          <w:tcPr>
            <w:tcW w:w="7165" w:type="dxa"/>
            <w:tcBorders/>
          </w:tcPr>
          <w:p>
            <w:pPr>
              <w:pStyle w:val="Normal"/>
              <w:ind w:end="0"/>
              <w:rPr>
                <w:b/>
                <w:bCs/>
              </w:rPr>
            </w:pPr>
            <w:r>
              <w:rPr/>
              <w:t>{provider.address}, TP Hà Nội, Việt Nam</w:t>
            </w:r>
          </w:p>
        </w:tc>
      </w:tr>
    </w:tbl>
    <w:p>
      <w:pPr>
        <w:pStyle w:val="Normal"/>
        <w:spacing w:lineRule="auto" w:line="259" w:before="0" w:after="160"/>
        <w:ind w:end="0"/>
        <w:rPr>
          <w:b/>
          <w:bCs/>
        </w:rPr>
      </w:pPr>
      <w:r>
        <w:rPr>
          <w:b/>
          <w:bCs/>
        </w:rPr>
      </w:r>
    </w:p>
    <w:p>
      <w:pPr>
        <w:pStyle w:val="Normal"/>
        <w:spacing w:lineRule="auto" w:line="259" w:before="0" w:after="160"/>
        <w:ind w:end="0"/>
        <w:rPr>
          <w:rFonts w:ascii="Aptos" w:hAnsi="Aptos" w:eastAsia="Aptos" w:cs="Aptos"/>
          <w:sz w:val="22"/>
          <w:szCs w:val="22"/>
        </w:rPr>
      </w:pPr>
      <w:r>
        <w:rPr>
          <w:rFonts w:eastAsia="Aptos" w:cs="Aptos" w:ascii="Aptos" w:hAnsi="Aptos"/>
          <w:sz w:val="22"/>
          <w:szCs w:val="22"/>
        </w:rPr>
      </w:r>
    </w:p>
    <w:p>
      <w:pPr>
        <w:pStyle w:val="Normal"/>
        <w:spacing w:lineRule="auto" w:line="259" w:before="0" w:after="160"/>
        <w:ind w:end="0"/>
        <w:rPr>
          <w:b/>
          <w:bCs/>
        </w:rPr>
      </w:pPr>
      <w:r>
        <w:rPr>
          <w:b/>
          <w:bCs/>
        </w:rPr>
        <w:t xml:space="preserve"> </w:t>
      </w:r>
    </w:p>
    <w:tbl>
      <w:tblPr>
        <w:tblStyle w:val="a0"/>
        <w:tblW w:w="9350" w:type="dxa"/>
        <w:jc w:val="start"/>
        <w:tblInd w:w="0" w:type="dxa"/>
        <w:tblLayout w:type="fixed"/>
        <w:tblCellMar>
          <w:top w:w="0" w:type="dxa"/>
          <w:start w:w="108" w:type="dxa"/>
          <w:bottom w:w="0" w:type="dxa"/>
          <w:end w:w="108" w:type="dxa"/>
        </w:tblCellMar>
        <w:tblLook w:noHBand="0" w:lastColumn="0" w:firstColumn="0" w:lastRow="0" w:firstRow="0" w:noVBand="1" w:val="0400"/>
      </w:tblPr>
      <w:tblGrid>
        <w:gridCol w:w="9350"/>
      </w:tblGrid>
      <w:tr>
        <w:trPr>
          <w:trHeight w:val="1637" w:hRule="atLeast"/>
        </w:trPr>
        <w:tc>
          <w:tcPr>
            <w:tcW w:w="9350" w:type="dxa"/>
            <w:tcBorders/>
          </w:tcPr>
          <w:p>
            <w:pPr>
              <w:pStyle w:val="Normal"/>
              <w:ind w:end="0"/>
              <w:rPr>
                <w:b/>
                <w:bCs/>
              </w:rPr>
            </w:pPr>
            <w:r>
              <w:rPr>
                <w:b/>
                <w:bCs/>
              </w:rPr>
            </w:r>
          </w:p>
        </w:tc>
      </w:tr>
      <w:tr>
        <w:trPr>
          <w:trHeight w:val="3636" w:hRule="atLeast"/>
        </w:trPr>
        <w:tc>
          <w:tcPr>
            <w:tcW w:w="9350" w:type="dxa"/>
            <w:tcBorders/>
          </w:tcPr>
          <w:p>
            <w:pPr>
              <w:pStyle w:val="Normal"/>
              <w:ind w:end="0"/>
              <w:jc w:val="center"/>
              <w:rPr>
                <w:b/>
                <w:bCs/>
                <w:color w:val="0000FF"/>
                <w:sz w:val="52"/>
                <w:szCs w:val="52"/>
              </w:rPr>
            </w:pPr>
            <w:bookmarkStart w:id="0" w:name="_heading=h.h753dr398tzi"/>
            <w:bookmarkEnd w:id="0"/>
            <w:r>
              <w:rPr>
                <w:b/>
                <w:bCs/>
                <w:color w:val="0000FF"/>
                <w:sz w:val="52"/>
                <w:szCs w:val="52"/>
              </w:rPr>
              <w:t>HỢP ĐỒNG</w:t>
            </w:r>
          </w:p>
          <w:p>
            <w:pPr>
              <w:pStyle w:val="Normal"/>
              <w:ind w:end="0"/>
              <w:jc w:val="center"/>
              <w:rPr>
                <w:b/>
                <w:bCs/>
                <w:color w:val="0000FF"/>
                <w:sz w:val="86"/>
                <w:szCs w:val="86"/>
              </w:rPr>
            </w:pPr>
            <w:r>
              <w:rPr>
                <w:b/>
                <w:bCs/>
                <w:color w:val="0000FF"/>
                <w:sz w:val="52"/>
                <w:szCs w:val="52"/>
              </w:rPr>
              <w:t>CUNG CẤP DỊCH VỤ TÍNH THÀNH TÍCH</w:t>
            </w:r>
          </w:p>
        </w:tc>
      </w:tr>
      <w:tr>
        <w:trPr>
          <w:trHeight w:val="539" w:hRule="atLeast"/>
        </w:trPr>
        <w:tc>
          <w:tcPr>
            <w:tcW w:w="9350" w:type="dxa"/>
            <w:tcBorders/>
            <w:vAlign w:val="center"/>
          </w:tcPr>
          <w:p>
            <w:pPr>
              <w:pStyle w:val="Normal"/>
              <w:ind w:end="0"/>
              <w:rPr>
                <w:sz w:val="32"/>
                <w:szCs w:val="32"/>
              </w:rPr>
            </w:pPr>
            <w:r>
              <w:rPr>
                <w:sz w:val="32"/>
                <w:szCs w:val="32"/>
              </w:rPr>
              <w:t>Dự án/Giải chạy: {raceName}</w:t>
            </w:r>
          </w:p>
        </w:tc>
      </w:tr>
      <w:tr>
        <w:trPr>
          <w:trHeight w:val="539" w:hRule="atLeast"/>
        </w:trPr>
        <w:tc>
          <w:tcPr>
            <w:tcW w:w="9350" w:type="dxa"/>
            <w:tcBorders/>
            <w:vAlign w:val="center"/>
          </w:tcPr>
          <w:p>
            <w:pPr>
              <w:pStyle w:val="Normal"/>
              <w:ind w:end="0"/>
              <w:rPr>
                <w:sz w:val="32"/>
                <w:szCs w:val="32"/>
              </w:rPr>
            </w:pPr>
            <w:r>
              <w:rPr>
                <w:sz w:val="32"/>
                <w:szCs w:val="32"/>
              </w:rPr>
              <w:t>Đối tác: {client.entityName}</w:t>
            </w:r>
          </w:p>
        </w:tc>
      </w:tr>
      <w:tr>
        <w:trPr>
          <w:trHeight w:val="3087" w:hRule="atLeast"/>
        </w:trPr>
        <w:tc>
          <w:tcPr>
            <w:tcW w:w="9350" w:type="dxa"/>
            <w:tcBorders/>
            <w:vAlign w:val="center"/>
          </w:tcPr>
          <w:p>
            <w:pPr>
              <w:pStyle w:val="Normal"/>
              <w:ind w:end="0"/>
              <w:jc w:val="center"/>
              <w:rPr>
                <w:sz w:val="28"/>
                <w:szCs w:val="28"/>
              </w:rPr>
            </w:pPr>
            <w:r>
              <w:rPr>
                <w:sz w:val="28"/>
                <w:szCs w:val="28"/>
              </w:rPr>
              <w:t>Năm {signYear}</w:t>
            </w:r>
          </w:p>
          <w:p>
            <w:pPr>
              <w:pStyle w:val="Normal"/>
              <w:ind w:end="0"/>
              <w:jc w:val="center"/>
              <w:rPr>
                <w:b/>
                <w:bCs/>
              </w:rPr>
            </w:pPr>
            <w:r>
              <w:rPr/>
              <w:t>---------------------------- oOo ----------------------------</w:t>
            </w:r>
          </w:p>
        </w:tc>
      </w:tr>
    </w:tbl>
    <w:p>
      <w:pPr>
        <w:pStyle w:val="Normal"/>
        <w:tabs>
          <w:tab w:val="clear" w:pos="720"/>
          <w:tab w:val="left" w:pos="1260" w:leader="none"/>
        </w:tabs>
        <w:spacing w:before="60" w:after="60"/>
        <w:jc w:val="center"/>
        <w:rPr>
          <w:b/>
          <w:bCs/>
          <w:sz w:val="26"/>
          <w:szCs w:val="26"/>
        </w:rPr>
      </w:pPr>
      <w:r>
        <w:rPr>
          <w:b/>
          <w:bCs/>
          <w:sz w:val="26"/>
          <w:szCs w:val="26"/>
        </w:rPr>
      </w:r>
      <w:bookmarkStart w:id="1" w:name="_heading=h.agul92hg0huq"/>
      <w:bookmarkEnd w:id="1"/>
      <w:r>
        <w:br w:type="page"/>
      </w:r>
    </w:p>
    <w:p>
      <w:pPr>
        <w:pStyle w:val="Normal"/>
        <w:tabs>
          <w:tab w:val="clear" w:pos="720"/>
          <w:tab w:val="left" w:pos="1260" w:leader="none"/>
        </w:tabs>
        <w:spacing w:before="0" w:after="60"/>
        <w:jc w:val="center"/>
        <w:rPr>
          <w:b/>
          <w:bCs/>
          <w:sz w:val="26"/>
          <w:szCs w:val="26"/>
        </w:rPr>
      </w:pPr>
      <w:bookmarkStart w:id="2" w:name="_heading=h.82zggld1l2cq"/>
      <w:bookmarkEnd w:id="2"/>
      <w:r>
        <w:rPr>
          <w:b/>
          <w:bCs/>
          <w:sz w:val="26"/>
          <w:szCs w:val="26"/>
        </w:rPr>
        <w:t>CỘNG HÒA XÃ HỘI CHỦ NGHĨA VIỆT NAM</w:t>
      </w:r>
    </w:p>
    <w:p>
      <w:pPr>
        <w:pStyle w:val="Normal"/>
        <w:tabs>
          <w:tab w:val="clear" w:pos="720"/>
          <w:tab w:val="left" w:pos="1260" w:leader="none"/>
        </w:tabs>
        <w:spacing w:before="60" w:after="60"/>
        <w:jc w:val="center"/>
        <w:rPr>
          <w:b/>
          <w:bCs/>
          <w:sz w:val="26"/>
          <w:szCs w:val="26"/>
        </w:rPr>
      </w:pPr>
      <w:r>
        <w:rPr>
          <w:b/>
          <w:bCs/>
          <w:sz w:val="26"/>
          <w:szCs w:val="26"/>
        </w:rPr>
        <w:t>Độc lập – Tự do – Hạnh phúc</w:t>
      </w:r>
    </w:p>
    <w:p>
      <w:pPr>
        <w:pStyle w:val="Normal"/>
        <w:tabs>
          <w:tab w:val="clear" w:pos="720"/>
          <w:tab w:val="left" w:pos="1260" w:leader="none"/>
        </w:tabs>
        <w:spacing w:before="60" w:after="60"/>
        <w:jc w:val="center"/>
        <w:rPr>
          <w:sz w:val="26"/>
          <w:szCs w:val="26"/>
        </w:rPr>
      </w:pPr>
      <w:r>
        <w:rPr>
          <w:sz w:val="26"/>
          <w:szCs w:val="26"/>
        </w:rPr>
      </w:r>
    </w:p>
    <w:p>
      <w:pPr>
        <w:pStyle w:val="Normal"/>
        <w:tabs>
          <w:tab w:val="clear" w:pos="720"/>
          <w:tab w:val="left" w:pos="1260" w:leader="none"/>
        </w:tabs>
        <w:spacing w:before="60" w:after="60"/>
        <w:jc w:val="center"/>
        <w:rPr>
          <w:b/>
          <w:bCs/>
          <w:sz w:val="36"/>
          <w:szCs w:val="36"/>
        </w:rPr>
      </w:pPr>
      <w:r>
        <w:rPr>
          <w:b/>
          <w:bCs/>
          <w:sz w:val="36"/>
          <w:szCs w:val="36"/>
        </w:rPr>
        <w:t>HỢP ĐỒNG DỊCH VỤ</w:t>
      </w:r>
    </w:p>
    <w:p>
      <w:pPr>
        <w:pStyle w:val="Normal"/>
        <w:tabs>
          <w:tab w:val="clear" w:pos="720"/>
          <w:tab w:val="left" w:pos="1260" w:leader="none"/>
        </w:tabs>
        <w:spacing w:before="60" w:after="60"/>
        <w:jc w:val="center"/>
        <w:rPr>
          <w:b/>
          <w:bCs/>
          <w:sz w:val="26"/>
          <w:szCs w:val="26"/>
        </w:rPr>
      </w:pPr>
      <w:r>
        <w:rPr>
          <w:b/>
          <w:bCs/>
          <w:sz w:val="26"/>
          <w:szCs w:val="26"/>
        </w:rPr>
        <w:t>Số:         {contractNumber}</w:t>
      </w:r>
    </w:p>
    <w:p>
      <w:pPr>
        <w:pStyle w:val="Normal"/>
        <w:jc w:val="both"/>
        <w:rPr>
          <w:b/>
          <w:bCs/>
          <w:sz w:val="26"/>
          <w:szCs w:val="26"/>
        </w:rPr>
      </w:pPr>
      <w:r>
        <w:rPr>
          <w:b/>
          <w:bCs/>
          <w:sz w:val="26"/>
          <w:szCs w:val="26"/>
        </w:rPr>
        <w:t>Căn cứ pháp luật</w:t>
      </w:r>
    </w:p>
    <w:p>
      <w:pPr>
        <w:pStyle w:val="Normal"/>
        <w:jc w:val="both"/>
        <w:rPr>
          <w:b/>
          <w:bCs/>
          <w:sz w:val="26"/>
          <w:szCs w:val="26"/>
        </w:rPr>
      </w:pPr>
      <w:r>
        <w:rPr>
          <w:b/>
          <w:bCs/>
          <w:sz w:val="26"/>
          <w:szCs w:val="26"/>
        </w:rPr>
      </w:r>
    </w:p>
    <w:p>
      <w:pPr>
        <w:pStyle w:val="Normal"/>
        <w:numPr>
          <w:ilvl w:val="0"/>
          <w:numId w:val="1"/>
        </w:numPr>
        <w:spacing w:lineRule="auto" w:line="278" w:before="0" w:after="160"/>
        <w:ind w:hanging="360" w:start="720" w:end="0"/>
        <w:jc w:val="both"/>
        <w:rPr>
          <w:i/>
          <w:iCs/>
        </w:rPr>
      </w:pPr>
      <w:r>
        <w:rPr>
          <w:i/>
          <w:iCs/>
        </w:rPr>
        <w:t>Căn cứ Bộ luật Dân sự số 91/2015/QH13 ngày 24/11/2015 của Quốc hội và các văn bản hướng dẫn thi hành;</w:t>
      </w:r>
    </w:p>
    <w:p>
      <w:pPr>
        <w:pStyle w:val="Normal"/>
        <w:numPr>
          <w:ilvl w:val="0"/>
          <w:numId w:val="1"/>
        </w:numPr>
        <w:spacing w:lineRule="auto" w:line="278" w:before="0" w:after="160"/>
        <w:ind w:hanging="360" w:start="720" w:end="0"/>
        <w:jc w:val="both"/>
        <w:rPr>
          <w:i/>
          <w:iCs/>
        </w:rPr>
      </w:pPr>
      <w:r>
        <w:rPr>
          <w:i/>
          <w:iCs/>
        </w:rPr>
        <w:t>Căn cứ Luật Doanh nghiệp số 59/2020/QH14 ngày 17/6/2020 của Quốc hội và các văn bản hướng dẫn thi hành;</w:t>
      </w:r>
    </w:p>
    <w:p>
      <w:pPr>
        <w:pStyle w:val="Normal"/>
        <w:numPr>
          <w:ilvl w:val="0"/>
          <w:numId w:val="1"/>
        </w:numPr>
        <w:spacing w:lineRule="auto" w:line="278" w:before="0" w:after="160"/>
        <w:ind w:hanging="360" w:start="720" w:end="0"/>
        <w:jc w:val="both"/>
        <w:rPr>
          <w:i/>
          <w:iCs/>
        </w:rPr>
      </w:pPr>
      <w:r>
        <w:rPr>
          <w:i/>
          <w:iCs/>
        </w:rPr>
        <w:t>Căn cứ Luật Thương mại số 36/2005/QH11 ngày 14/6/2005 của Quốc hội và các văn bản hướng dẫn thi hành;</w:t>
      </w:r>
    </w:p>
    <w:p>
      <w:pPr>
        <w:pStyle w:val="Normal"/>
        <w:numPr>
          <w:ilvl w:val="0"/>
          <w:numId w:val="1"/>
        </w:numPr>
        <w:pBdr/>
        <w:spacing w:lineRule="auto" w:line="240" w:before="60" w:after="60"/>
        <w:ind w:hanging="360" w:start="720" w:end="0"/>
        <w:jc w:val="both"/>
        <w:rPr>
          <w:i/>
          <w:iCs/>
          <w:color w:val="000000"/>
          <w:sz w:val="26"/>
          <w:szCs w:val="26"/>
        </w:rPr>
      </w:pPr>
      <w:r>
        <w:rPr>
          <w:i/>
          <w:iCs/>
          <w:color w:val="000000"/>
          <w:sz w:val="26"/>
          <w:szCs w:val="26"/>
        </w:rPr>
        <w:t>Căn cứ Bộ luật Lao động số 45/2019/QH14 ngày 20/11/2019 của Quốc hội và các văn bản hướng dẫn thi hành;</w:t>
      </w:r>
    </w:p>
    <w:p>
      <w:pPr>
        <w:pStyle w:val="Normal"/>
        <w:numPr>
          <w:ilvl w:val="0"/>
          <w:numId w:val="1"/>
        </w:numPr>
        <w:spacing w:lineRule="auto" w:line="278" w:before="0" w:after="160"/>
        <w:ind w:hanging="360" w:start="720" w:end="0"/>
        <w:jc w:val="both"/>
        <w:rPr>
          <w:i/>
          <w:iCs/>
        </w:rPr>
      </w:pPr>
      <w:r>
        <w:rPr>
          <w:i/>
          <w:iCs/>
        </w:rPr>
        <w:t>Căn cứ Luật Thể dục, thể thao số 77/2006/QH11 ngày 29/11/2006 của Quốc hội; Luật số 26/2018/QH14 sửa đổi, bổ sung một số điều của Luật Thể dục, thể thao và các văn bản hướng dẫn thi hành;</w:t>
      </w:r>
    </w:p>
    <w:p>
      <w:pPr>
        <w:pStyle w:val="Normal"/>
        <w:numPr>
          <w:ilvl w:val="0"/>
          <w:numId w:val="1"/>
        </w:numPr>
        <w:spacing w:lineRule="auto" w:line="278" w:before="0" w:after="160"/>
        <w:ind w:hanging="360" w:start="720" w:end="0"/>
        <w:jc w:val="both"/>
        <w:rPr>
          <w:i/>
          <w:iCs/>
        </w:rPr>
      </w:pPr>
      <w:r>
        <w:rPr>
          <w:i/>
          <w:iCs/>
        </w:rPr>
        <w:t>Căn cứ theo nhu cầu và khả năng của mỗi bên.</w:t>
      </w:r>
    </w:p>
    <w:p>
      <w:pPr>
        <w:pStyle w:val="Normal"/>
        <w:spacing w:before="120" w:after="120"/>
        <w:ind w:end="92"/>
        <w:jc w:val="both"/>
        <w:rPr>
          <w:sz w:val="26"/>
          <w:szCs w:val="26"/>
        </w:rPr>
      </w:pPr>
      <w:r>
        <w:rPr>
          <w:sz w:val="26"/>
          <w:szCs w:val="26"/>
        </w:rPr>
        <w:t>Hôm nay, ngày {signDay} tháng {signMonth} năm {signYear}, chúng tôi gồm:</w:t>
      </w:r>
    </w:p>
    <w:p>
      <w:pPr>
        <w:pStyle w:val="Normal"/>
        <w:tabs>
          <w:tab w:val="clear" w:pos="720"/>
          <w:tab w:val="left" w:pos="270" w:leader="none"/>
        </w:tabs>
        <w:spacing w:lineRule="auto" w:line="240"/>
        <w:ind w:end="0"/>
        <w:jc w:val="both"/>
        <w:rPr>
          <w:b/>
          <w:bCs/>
          <w:sz w:val="26"/>
          <w:szCs w:val="26"/>
        </w:rPr>
      </w:pPr>
      <w:r>
        <w:rPr>
          <w:b/>
          <w:bCs/>
          <w:sz w:val="26"/>
          <w:szCs w:val="26"/>
        </w:rPr>
        <w:t>Bên A: {client.entityName}</w:t>
      </w:r>
    </w:p>
    <w:tbl>
      <w:tblPr>
        <w:tblStyle w:val="a1"/>
        <w:tblW w:w="9500" w:type="dxa"/>
        <w:jc w:val="start"/>
        <w:tblInd w:w="108" w:type="dxa"/>
        <w:tblLayout w:type="fixed"/>
        <w:tblCellMar>
          <w:top w:w="0" w:type="dxa"/>
          <w:start w:w="108" w:type="dxa"/>
          <w:bottom w:w="0" w:type="dxa"/>
          <w:end w:w="108" w:type="dxa"/>
        </w:tblCellMar>
        <w:tblLook w:noHBand="0" w:lastColumn="0" w:firstColumn="0" w:lastRow="0" w:firstRow="0" w:noVBand="1" w:val="0400"/>
      </w:tblPr>
      <w:tblGrid>
        <w:gridCol w:w="1710"/>
        <w:gridCol w:w="7790"/>
      </w:tblGrid>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Địa chỉ</w:t>
            </w:r>
          </w:p>
        </w:tc>
        <w:tc>
          <w:tcPr>
            <w:tcW w:w="779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 {client.address}, Việt Nam</w:t>
            </w:r>
          </w:p>
        </w:tc>
      </w:tr>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Điện thoại</w:t>
            </w:r>
          </w:p>
        </w:tc>
        <w:tc>
          <w:tcPr>
            <w:tcW w:w="779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 {client.phone}</w:t>
            </w:r>
          </w:p>
        </w:tc>
      </w:tr>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Mã số thuế</w:t>
            </w:r>
          </w:p>
        </w:tc>
        <w:tc>
          <w:tcPr>
            <w:tcW w:w="779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 {client.taxId}</w:t>
            </w:r>
          </w:p>
        </w:tc>
      </w:tr>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Đại diện là</w:t>
            </w:r>
          </w:p>
        </w:tc>
        <w:tc>
          <w:tcPr>
            <w:tcW w:w="7790" w:type="dxa"/>
            <w:tcBorders/>
            <w:shd w:color="auto" w:fill="auto" w:val="clear"/>
          </w:tcPr>
          <w:p>
            <w:pPr>
              <w:pStyle w:val="Normal"/>
              <w:tabs>
                <w:tab w:val="clear" w:pos="720"/>
                <w:tab w:val="left" w:pos="1260" w:leader="none"/>
              </w:tabs>
              <w:jc w:val="both"/>
              <w:rPr>
                <w:b/>
                <w:bCs/>
                <w:sz w:val="27"/>
                <w:szCs w:val="27"/>
              </w:rPr>
            </w:pPr>
            <w:r>
              <w:rPr>
                <w:sz w:val="26"/>
                <w:szCs w:val="26"/>
              </w:rPr>
              <w:t>: {client.representative}</w:t>
            </w:r>
          </w:p>
        </w:tc>
      </w:tr>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7"/>
                <w:szCs w:val="27"/>
              </w:rPr>
              <w:t>Chức vụ</w:t>
            </w:r>
          </w:p>
        </w:tc>
        <w:tc>
          <w:tcPr>
            <w:tcW w:w="7790" w:type="dxa"/>
            <w:tcBorders/>
            <w:shd w:color="auto" w:fill="auto" w:val="clear"/>
          </w:tcPr>
          <w:p>
            <w:pPr>
              <w:pStyle w:val="Normal"/>
              <w:tabs>
                <w:tab w:val="clear" w:pos="720"/>
                <w:tab w:val="left" w:pos="1260" w:leader="none"/>
              </w:tabs>
              <w:jc w:val="both"/>
              <w:rPr>
                <w:sz w:val="26"/>
                <w:szCs w:val="26"/>
              </w:rPr>
            </w:pPr>
            <w:r>
              <w:rPr>
                <w:sz w:val="27"/>
                <w:szCs w:val="27"/>
              </w:rPr>
              <w:t>:</w:t>
            </w:r>
            <w:r>
              <w:rPr>
                <w:b/>
                <w:bCs/>
                <w:sz w:val="27"/>
                <w:szCs w:val="27"/>
              </w:rPr>
              <w:t xml:space="preserve"> {client.position}</w:t>
            </w:r>
          </w:p>
        </w:tc>
      </w:tr>
    </w:tbl>
    <w:p>
      <w:pPr>
        <w:pStyle w:val="Normal"/>
        <w:tabs>
          <w:tab w:val="clear" w:pos="720"/>
          <w:tab w:val="left" w:pos="1260" w:leader="none"/>
        </w:tabs>
        <w:jc w:val="both"/>
        <w:rPr>
          <w:b/>
          <w:bCs/>
          <w:sz w:val="26"/>
          <w:szCs w:val="26"/>
        </w:rPr>
      </w:pPr>
      <w:r>
        <w:rPr>
          <w:b/>
          <w:bCs/>
          <w:sz w:val="26"/>
          <w:szCs w:val="26"/>
        </w:rPr>
        <w:t>Và:</w:t>
      </w:r>
    </w:p>
    <w:p>
      <w:pPr>
        <w:pStyle w:val="Normal"/>
        <w:spacing w:before="120" w:after="120"/>
        <w:ind w:end="92"/>
        <w:jc w:val="both"/>
        <w:rPr>
          <w:b/>
          <w:bCs/>
          <w:sz w:val="26"/>
          <w:szCs w:val="26"/>
        </w:rPr>
      </w:pPr>
      <w:r>
        <w:rPr>
          <w:b/>
          <w:bCs/>
          <w:sz w:val="26"/>
          <w:szCs w:val="26"/>
        </w:rPr>
        <w:t>Bên B: {provider.entityName}</w:t>
      </w:r>
    </w:p>
    <w:tbl>
      <w:tblPr>
        <w:tblStyle w:val="a2"/>
        <w:tblW w:w="9500" w:type="dxa"/>
        <w:jc w:val="start"/>
        <w:tblInd w:w="108" w:type="dxa"/>
        <w:tblLayout w:type="fixed"/>
        <w:tblCellMar>
          <w:top w:w="0" w:type="dxa"/>
          <w:start w:w="108" w:type="dxa"/>
          <w:bottom w:w="0" w:type="dxa"/>
          <w:end w:w="108" w:type="dxa"/>
        </w:tblCellMar>
        <w:tblLook w:noHBand="0" w:lastColumn="0" w:firstColumn="0" w:lastRow="0" w:firstRow="0" w:noVBand="1" w:val="0400"/>
      </w:tblPr>
      <w:tblGrid>
        <w:gridCol w:w="1710"/>
        <w:gridCol w:w="7790"/>
      </w:tblGrid>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Địa chỉ</w:t>
            </w:r>
          </w:p>
        </w:tc>
        <w:tc>
          <w:tcPr>
            <w:tcW w:w="7790" w:type="dxa"/>
            <w:tcBorders/>
            <w:shd w:color="auto" w:fill="auto" w:val="clear"/>
          </w:tcPr>
          <w:p>
            <w:pPr>
              <w:pStyle w:val="Normal"/>
              <w:pBdr/>
              <w:tabs>
                <w:tab w:val="clear" w:pos="720"/>
                <w:tab w:val="left" w:pos="1260" w:leader="none"/>
                <w:tab w:val="left" w:pos="9356" w:leader="none"/>
              </w:tabs>
              <w:spacing w:lineRule="auto" w:line="240"/>
              <w:ind w:end="0"/>
              <w:jc w:val="both"/>
              <w:rPr>
                <w:sz w:val="26"/>
                <w:szCs w:val="26"/>
              </w:rPr>
            </w:pPr>
            <w:r>
              <w:rPr>
                <w:color w:val="000000"/>
                <w:sz w:val="26"/>
                <w:szCs w:val="26"/>
              </w:rPr>
              <w:t xml:space="preserve">: </w:t>
            </w:r>
            <w:r>
              <w:rPr>
                <w:sz w:val="26"/>
                <w:szCs w:val="26"/>
              </w:rPr>
              <w:t>{provider.address}.</w:t>
            </w:r>
          </w:p>
        </w:tc>
      </w:tr>
      <w:tr>
        <w:trPr>
          <w:trHeight w:val="313" w:hRule="atLeast"/>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Điện thoại</w:t>
            </w:r>
          </w:p>
        </w:tc>
        <w:tc>
          <w:tcPr>
            <w:tcW w:w="779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 {client.phone}</w:t>
            </w:r>
          </w:p>
        </w:tc>
      </w:tr>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Mã số thuế</w:t>
            </w:r>
          </w:p>
        </w:tc>
        <w:tc>
          <w:tcPr>
            <w:tcW w:w="779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 {provider.taxId}</w:t>
            </w:r>
          </w:p>
        </w:tc>
      </w:tr>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6"/>
                <w:szCs w:val="26"/>
              </w:rPr>
              <w:t>Đại diện là</w:t>
            </w:r>
          </w:p>
        </w:tc>
        <w:tc>
          <w:tcPr>
            <w:tcW w:w="7790" w:type="dxa"/>
            <w:tcBorders/>
            <w:shd w:color="auto" w:fill="auto" w:val="clear"/>
          </w:tcPr>
          <w:p>
            <w:pPr>
              <w:pStyle w:val="Normal"/>
              <w:tabs>
                <w:tab w:val="clear" w:pos="720"/>
                <w:tab w:val="left" w:pos="1260" w:leader="none"/>
              </w:tabs>
              <w:jc w:val="both"/>
              <w:rPr>
                <w:b/>
                <w:bCs/>
                <w:sz w:val="27"/>
                <w:szCs w:val="27"/>
              </w:rPr>
            </w:pPr>
            <w:r>
              <w:rPr>
                <w:sz w:val="26"/>
                <w:szCs w:val="26"/>
              </w:rPr>
              <w:t>: {provider.representative}</w:t>
            </w:r>
          </w:p>
        </w:tc>
      </w:tr>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6"/>
                <w:szCs w:val="26"/>
              </w:rPr>
            </w:pPr>
            <w:r>
              <w:rPr>
                <w:color w:val="000000"/>
                <w:sz w:val="27"/>
                <w:szCs w:val="27"/>
              </w:rPr>
              <w:t>Chức vụ</w:t>
            </w:r>
          </w:p>
        </w:tc>
        <w:tc>
          <w:tcPr>
            <w:tcW w:w="7790" w:type="dxa"/>
            <w:tcBorders/>
            <w:shd w:color="auto" w:fill="auto" w:val="clear"/>
          </w:tcPr>
          <w:p>
            <w:pPr>
              <w:pStyle w:val="Normal"/>
              <w:tabs>
                <w:tab w:val="clear" w:pos="720"/>
                <w:tab w:val="left" w:pos="1260" w:leader="none"/>
              </w:tabs>
              <w:jc w:val="both"/>
              <w:rPr>
                <w:sz w:val="26"/>
                <w:szCs w:val="26"/>
              </w:rPr>
            </w:pPr>
            <w:r>
              <w:rPr>
                <w:sz w:val="27"/>
                <w:szCs w:val="27"/>
              </w:rPr>
              <w:t>:</w:t>
            </w:r>
            <w:r>
              <w:rPr>
                <w:b/>
                <w:bCs/>
                <w:sz w:val="27"/>
                <w:szCs w:val="27"/>
              </w:rPr>
              <w:t xml:space="preserve"> </w:t>
            </w:r>
            <w:r>
              <w:rPr>
                <w:sz w:val="27"/>
                <w:szCs w:val="27"/>
              </w:rPr>
              <w:t>{provider.position}</w:t>
            </w:r>
          </w:p>
        </w:tc>
      </w:tr>
      <w:tr>
        <w:trPr/>
        <w:tc>
          <w:tcPr>
            <w:tcW w:w="1710" w:type="dxa"/>
            <w:tcBorders/>
            <w:shd w:color="auto" w:fill="auto" w:val="clear"/>
          </w:tcPr>
          <w:p>
            <w:pPr>
              <w:pStyle w:val="Normal"/>
              <w:pBdr/>
              <w:tabs>
                <w:tab w:val="clear" w:pos="720"/>
                <w:tab w:val="left" w:pos="1260" w:leader="none"/>
                <w:tab w:val="left" w:pos="9356" w:leader="none"/>
              </w:tabs>
              <w:spacing w:lineRule="auto" w:line="240"/>
              <w:ind w:end="0"/>
              <w:jc w:val="both"/>
              <w:rPr>
                <w:color w:val="000000"/>
                <w:sz w:val="27"/>
                <w:szCs w:val="27"/>
              </w:rPr>
            </w:pPr>
            <w:r>
              <w:rPr>
                <w:color w:val="000000"/>
                <w:sz w:val="27"/>
                <w:szCs w:val="27"/>
              </w:rPr>
              <w:t>Tài khoản</w:t>
            </w:r>
          </w:p>
        </w:tc>
        <w:tc>
          <w:tcPr>
            <w:tcW w:w="7790" w:type="dxa"/>
            <w:tcBorders/>
            <w:shd w:color="auto" w:fill="auto" w:val="clear"/>
          </w:tcPr>
          <w:p>
            <w:pPr>
              <w:pStyle w:val="Normal"/>
              <w:tabs>
                <w:tab w:val="clear" w:pos="720"/>
                <w:tab w:val="left" w:pos="1260" w:leader="none"/>
              </w:tabs>
              <w:jc w:val="both"/>
              <w:rPr>
                <w:sz w:val="27"/>
                <w:szCs w:val="27"/>
              </w:rPr>
            </w:pPr>
            <w:r>
              <w:rPr>
                <w:sz w:val="27"/>
                <w:szCs w:val="27"/>
              </w:rPr>
              <w:t>: {provider.bankAccount} - tại ngân hàng {provider.bankName}</w:t>
            </w:r>
          </w:p>
        </w:tc>
      </w:tr>
    </w:tbl>
    <w:p>
      <w:pPr>
        <w:pStyle w:val="Normal"/>
        <w:spacing w:before="120" w:after="120"/>
        <w:ind w:end="92"/>
        <w:jc w:val="both"/>
        <w:rPr>
          <w:sz w:val="26"/>
          <w:szCs w:val="26"/>
        </w:rPr>
      </w:pPr>
      <w:r>
        <w:rPr>
          <w:sz w:val="26"/>
          <w:szCs w:val="26"/>
        </w:rPr>
        <w:t>Các Bên thống nhất các điều khoản cụ thể như sau:</w:t>
      </w:r>
    </w:p>
    <w:p>
      <w:pPr>
        <w:pStyle w:val="Normal"/>
        <w:numPr>
          <w:ilvl w:val="0"/>
          <w:numId w:val="2"/>
        </w:numPr>
        <w:pBdr/>
        <w:ind w:end="520"/>
        <w:rPr>
          <w:b/>
          <w:bCs/>
          <w:color w:val="000000"/>
        </w:rPr>
      </w:pPr>
      <w:bookmarkStart w:id="3" w:name="_heading=h.b68g9utqutir"/>
      <w:bookmarkEnd w:id="3"/>
      <w:r>
        <w:rPr>
          <w:b/>
          <w:bCs/>
          <w:color w:val="000000"/>
        </w:rPr>
        <w:t>ĐỐI TƯỢNG VÀ PHẠM VI HỢP ĐỒNG</w:t>
      </w:r>
    </w:p>
    <w:p>
      <w:pPr>
        <w:pStyle w:val="Normal"/>
        <w:numPr>
          <w:ilvl w:val="1"/>
          <w:numId w:val="2"/>
        </w:numPr>
        <w:pBdr/>
        <w:ind w:hanging="567" w:start="1134" w:end="1"/>
        <w:jc w:val="both"/>
        <w:rPr>
          <w:color w:val="000000"/>
        </w:rPr>
      </w:pPr>
      <w:r>
        <w:rPr>
          <w:color w:val="000000"/>
        </w:rPr>
        <w:t>Bên B sẽ cung cấp dịch vụ ghi nhận thành tích thi đấu, còn được gọi là “Dịch vụ tính giờ” (sau đây gọi tắt là “Dịch vụ”) cho Bên A tại sự kiện do Bên A tổ chức. Thành tích được tính dựa trên chip tính giờ gắn đằng sau số đeo trên mỗi vận động viên tham gia sự kiện của Bên A, tính chính xác đến phần trăm giây.</w:t>
      </w:r>
    </w:p>
    <w:p>
      <w:pPr>
        <w:pStyle w:val="Normal"/>
        <w:numPr>
          <w:ilvl w:val="1"/>
          <w:numId w:val="2"/>
        </w:numPr>
        <w:pBdr/>
        <w:ind w:hanging="567" w:start="1134" w:end="1"/>
        <w:jc w:val="both"/>
        <w:rPr>
          <w:color w:val="000000"/>
        </w:rPr>
      </w:pPr>
      <w:r>
        <w:rPr>
          <w:color w:val="000000"/>
        </w:rPr>
        <w:t>Trong trường hợp xảy ra lỗi kỹ thuật khi ghi nhận bằng chip tính giờ (bao gồm nhưng không giới hạn ở nguyên nhân bất khả kháng hoặc hành vi của vận động viên làm hư hỏng thiết bị), Bên B có trách nhiệm phối hợp với Bên A để sử dụng hình ảnh ghi nhận (do Bên B hoặc Bên A cung cấp) nhằm xác định kết quả tương đối chính xác, với sai số không quá 0,5 giây.Tuy nhiên, Bên B cam kết đảm bảo việc ghi nhận kết quả chính xác tối thiểu cho 98% tổng số vận  động viên tham gia sự kiện, trừ trường hợp bất khả kháng được quy định tại Hợp đồng. Trong các tình huống sự cố ngoài mong muốn, hai bên sẽ cùng làm việc bằng văn bản để xác định giải pháp hợp lý, đảm bảo kết quả sự kiện được công bố minh bạch, khách quan và hạn chế tối đa ảnh hưởng đến uy tín của Bên A.</w:t>
      </w:r>
    </w:p>
    <w:p>
      <w:pPr>
        <w:pStyle w:val="Normal"/>
        <w:numPr>
          <w:ilvl w:val="1"/>
          <w:numId w:val="2"/>
        </w:numPr>
        <w:pBdr/>
        <w:ind w:hanging="567" w:start="1134" w:end="1"/>
        <w:jc w:val="both"/>
        <w:rPr>
          <w:color w:val="000000"/>
        </w:rPr>
      </w:pPr>
      <w:r>
        <w:rPr>
          <w:color w:val="000000"/>
        </w:rPr>
        <w:t>Bên B công bố kết quả chung của toàn bộ người tham gia trên website của Bên B (trang web: https://5bib.com).</w:t>
      </w:r>
    </w:p>
    <w:p>
      <w:pPr>
        <w:pStyle w:val="Normal"/>
        <w:numPr>
          <w:ilvl w:val="1"/>
          <w:numId w:val="2"/>
        </w:numPr>
        <w:pBdr/>
        <w:ind w:hanging="567" w:start="1134" w:end="1"/>
        <w:jc w:val="both"/>
        <w:rPr>
          <w:color w:val="000000"/>
        </w:rPr>
      </w:pPr>
      <w:r>
        <w:rPr>
          <w:color w:val="000000"/>
        </w:rPr>
        <w:t xml:space="preserve">Bên B giữ nguyên tắc không thay đổi kết quả dẫn tới sai lệch thứ hạng xếp hạng của các hạng mục thi đấu tại sự kiện (kể cả nếu Bên A yêu cầu) nếu qua kết quả đó đo bằng thiết bị hoạt động bình thường và các bằng chứng cho thấy không có sai sót trong toàn bộ quá trình thực hiện dịch vụ tính giờ. Trong trường hợp Bên A tự ý thay đổi và công bố kết quả đã được thay đổi, Bên B có quyền và có thể công bố kết quả đúng như ghi nhận nếu cần thiết. </w:t>
      </w:r>
    </w:p>
    <w:p>
      <w:pPr>
        <w:pStyle w:val="Normal"/>
        <w:numPr>
          <w:ilvl w:val="1"/>
          <w:numId w:val="2"/>
        </w:numPr>
        <w:pBdr/>
        <w:ind w:hanging="567" w:start="1134" w:end="1"/>
        <w:jc w:val="both"/>
        <w:rPr>
          <w:color w:val="000000"/>
        </w:rPr>
      </w:pPr>
      <w:r>
        <w:rPr>
          <w:color w:val="000000"/>
        </w:rPr>
        <w:t>Hai Bên có quyền cung cấp các bằng chứng liên quan đến hành vi vi phạm luật thi đấu, luật thể thao, hoặc quy định pháp luật nói chung của vận động viên tham gia sự kiện do Bên A tổ chức. Trường hợp cả hai Bên cùng thống nhất rằng bằng chứng là xác đáng, kết quả thi đấu của vận động viên đó – dù đã được tính giờ hay chưa – sẽ bị loại bỏ khỏi kết quả chính thức.</w:t>
      </w:r>
    </w:p>
    <w:p>
      <w:pPr>
        <w:pStyle w:val="Normal"/>
        <w:numPr>
          <w:ilvl w:val="1"/>
          <w:numId w:val="2"/>
        </w:numPr>
        <w:pBdr/>
        <w:ind w:hanging="567" w:start="1134" w:end="1"/>
        <w:jc w:val="both"/>
        <w:rPr>
          <w:color w:val="000000"/>
        </w:rPr>
      </w:pPr>
      <w:r>
        <w:rPr>
          <w:color w:val="000000"/>
        </w:rPr>
        <w:t>Bên A phải có trách nhiệm thực hiện mọi điều kiện cần thiết để Bên B thiết lập hệ thống để phục vụ “Dịch vụ tính giờ” của mình như quy định tại Điều 4 của Hợp đồng này để đảm bảo kết quả công việc.</w:t>
      </w:r>
    </w:p>
    <w:p>
      <w:pPr>
        <w:pStyle w:val="Normal"/>
        <w:numPr>
          <w:ilvl w:val="1"/>
          <w:numId w:val="2"/>
        </w:numPr>
        <w:pBdr/>
        <w:ind w:hanging="567" w:start="1134" w:end="1"/>
        <w:jc w:val="both"/>
        <w:rPr>
          <w:color w:val="000000"/>
        </w:rPr>
      </w:pPr>
      <w:r>
        <w:rPr>
          <w:color w:val="000000"/>
        </w:rPr>
        <w:t>Chi tiết dịch vụ và chi phí hạng mục từng phần cấu thành dịch vụ được đính kèm Phụ lục  của Hợp đồng như một phần không thể tách rời.</w:t>
      </w:r>
    </w:p>
    <w:p>
      <w:pPr>
        <w:pStyle w:val="Normal"/>
        <w:numPr>
          <w:ilvl w:val="1"/>
          <w:numId w:val="2"/>
        </w:numPr>
        <w:pBdr/>
        <w:ind w:hanging="567" w:start="1134" w:end="1"/>
        <w:jc w:val="both"/>
        <w:rPr>
          <w:color w:val="000000"/>
        </w:rPr>
      </w:pPr>
      <w:r>
        <w:rPr>
          <w:color w:val="000000"/>
        </w:rPr>
        <w:t>Phụ lục được lập kèm theo Hợp đồng và là một bộ phận không thể tách rời của Hợp đồng chính. Mọi nội dung quy định trong Phụ lục có giá trị pháp lý tương đương như các điều khoản trong Hợp đồng và được áp dụng cùng với Hợp đồng chính. Trong trường hợp có sự khác biệt giữa nội dung của Phụ lục và Hợp đồng chính, các bên sẽ ưu tiên áp dụng quy định được hai bên thống nhất ghi tại Phụ lục, trừ khi có thỏa thuận khác bằng văn bản.</w:t>
      </w:r>
    </w:p>
    <w:p>
      <w:pPr>
        <w:pStyle w:val="Normal"/>
        <w:numPr>
          <w:ilvl w:val="0"/>
          <w:numId w:val="2"/>
        </w:numPr>
        <w:pBdr/>
        <w:ind w:end="520"/>
        <w:rPr>
          <w:b/>
          <w:bCs/>
          <w:color w:val="000000"/>
        </w:rPr>
      </w:pPr>
      <w:bookmarkStart w:id="4" w:name="_heading=h.ptqlejjsxdwd"/>
      <w:bookmarkEnd w:id="4"/>
      <w:r>
        <w:rPr>
          <w:b/>
          <w:bCs/>
          <w:color w:val="000000"/>
        </w:rPr>
        <w:t>GIÁ TRỊ CỦA HỢP ĐỒNG, PHƯƠNG THỨC THANH TOÁN</w:t>
      </w:r>
    </w:p>
    <w:p>
      <w:pPr>
        <w:pStyle w:val="Normal"/>
        <w:ind w:firstLine="567" w:end="1"/>
        <w:jc w:val="both"/>
        <w:rPr/>
      </w:pPr>
      <w:r>
        <w:rPr/>
        <w:t xml:space="preserve">Hợp đồng này là một gói dịch vụ có giá trị : </w:t>
      </w:r>
      <w:r>
        <w:rPr>
          <w:rFonts w:eastAsia="Times" w:cs="Times" w:ascii="Times" w:hAnsi="Times"/>
          <w:b/>
          <w:bCs/>
        </w:rPr>
        <w:t xml:space="preserve">{totalAmount} VND , </w:t>
      </w:r>
      <w:r>
        <w:rPr/>
        <w:t>đã bao gồm VAT. (</w:t>
      </w:r>
      <w:r>
        <w:rPr>
          <w:rFonts w:eastAsia="Times" w:cs="Times" w:ascii="Times" w:hAnsi="Times"/>
        </w:rPr>
        <w:t>Bằng chữ: {totalAmountInWords}</w:t>
      </w:r>
      <w:r>
        <w:rPr/>
        <w:t>)</w:t>
      </w:r>
    </w:p>
    <w:p>
      <w:pPr>
        <w:pStyle w:val="Normal"/>
        <w:ind w:end="1"/>
        <w:jc w:val="both"/>
        <w:rPr/>
      </w:pPr>
      <w:r>
        <w:rPr/>
        <w:t>Chi tiết các hạng mục đính kèm phụ lục của hợp đồng này, được thanh toán theo nghiệm thu phát sinh thực tế.</w:t>
      </w:r>
    </w:p>
    <w:p>
      <w:pPr>
        <w:pStyle w:val="Normal"/>
        <w:ind w:end="1"/>
        <w:jc w:val="both"/>
        <w:rPr/>
      </w:pPr>
      <w:r>
        <w:rPr/>
        <w:t>Hợp đồng được thanh toán chia làm 02 (hai) lần:</w:t>
      </w:r>
    </w:p>
    <w:p>
      <w:pPr>
        <w:pStyle w:val="Normal"/>
        <w:numPr>
          <w:ilvl w:val="0"/>
          <w:numId w:val="9"/>
        </w:numPr>
        <w:pBdr/>
        <w:ind w:hanging="360" w:start="720" w:end="1"/>
        <w:jc w:val="both"/>
        <w:rPr>
          <w:color w:val="000000"/>
        </w:rPr>
      </w:pPr>
      <w:r>
        <w:rPr>
          <w:color w:val="000000"/>
        </w:rPr>
        <w:t>Lần 1 thanh toán trước {paymentTerms.advancePercentage}% theo giá trị hợp đồng, trong vòng 05 (năm) ngày sau khi hai Bên ký kết Hợp đồng;</w:t>
      </w:r>
    </w:p>
    <w:p>
      <w:pPr>
        <w:pStyle w:val="Normal"/>
        <w:numPr>
          <w:ilvl w:val="0"/>
          <w:numId w:val="9"/>
        </w:numPr>
        <w:pBdr/>
        <w:ind w:hanging="360" w:start="720" w:end="1"/>
        <w:jc w:val="both"/>
        <w:rPr>
          <w:color w:val="000000"/>
        </w:rPr>
      </w:pPr>
      <w:r>
        <w:rPr>
          <w:color w:val="000000"/>
        </w:rPr>
        <w:t>Lần 2 thanh toán toàn bộ phần còn lại theo nghiệm thu cộng với giá trị VAT theo quy định tại thời điểm thanh toán, thời điểm thanh toán không muộn quá {paymentTerms.paymentDeadlineDays} ngày làm việc kể từ khi ký nghiệm thu hợp đồng;</w:t>
      </w:r>
    </w:p>
    <w:p>
      <w:pPr>
        <w:pStyle w:val="Normal"/>
        <w:ind w:firstLine="567" w:end="1"/>
        <w:jc w:val="both"/>
        <w:rPr/>
      </w:pPr>
      <w:r>
        <w:rPr/>
        <w:t>Việc chậm trễ thanh toán sau khoảng thời gian quy định trên sẽ được tính là nợ quá hạn của Bên A với mức lãi suất được tính là {paymentTerms.latePenaltyRate}{paymentTerms.latePenaltyUnit}  trên khoản nợ phải trả bất kể nghiệm thu thanh lý Hợp đồng được xác nhận vào thời điểm nào.</w:t>
      </w:r>
    </w:p>
    <w:p>
      <w:pPr>
        <w:pStyle w:val="Normal"/>
        <w:numPr>
          <w:ilvl w:val="0"/>
          <w:numId w:val="2"/>
        </w:numPr>
        <w:pBdr/>
        <w:ind w:hanging="1134" w:start="1134" w:end="520"/>
        <w:rPr>
          <w:b/>
          <w:bCs/>
          <w:color w:val="000000"/>
        </w:rPr>
      </w:pPr>
      <w:bookmarkStart w:id="5" w:name="_heading=h.wb4f7mvkmlvb"/>
      <w:bookmarkEnd w:id="5"/>
      <w:r>
        <w:rPr>
          <w:b/>
          <w:bCs/>
          <w:color w:val="000000"/>
        </w:rPr>
        <w:t>HỆ THỐNG LIÊN HỆ VÀ TRAO ĐỔI THÔNG TIN</w:t>
      </w:r>
    </w:p>
    <w:p>
      <w:pPr>
        <w:pStyle w:val="Normal"/>
        <w:numPr>
          <w:ilvl w:val="1"/>
          <w:numId w:val="2"/>
        </w:numPr>
        <w:pBdr/>
        <w:ind w:hanging="567" w:start="1134" w:end="520"/>
        <w:rPr>
          <w:b/>
          <w:bCs/>
          <w:color w:val="000000"/>
        </w:rPr>
      </w:pPr>
      <w:r>
        <w:rPr>
          <w:b/>
          <w:bCs/>
          <w:color w:val="000000"/>
        </w:rPr>
        <w:t>Nguyên tắc liên lạc</w:t>
      </w:r>
    </w:p>
    <w:p>
      <w:pPr>
        <w:pStyle w:val="Normal"/>
        <w:ind w:end="1"/>
        <w:jc w:val="both"/>
        <w:rPr/>
      </w:pPr>
      <w:r>
        <w:rPr/>
        <w:t>Trừ khi có thỏa thuận khác bằng văn bản giữa hai Bên, mọi thông báo, tài liệu, yêu cầu hoặc trao đổi liên quan đến Hợp đồng và các Phụ lục đính kèm phải được thực hiện bằng văn bản và gửi qua một trong các hình thức hợp lệ sau:</w:t>
      </w:r>
    </w:p>
    <w:p>
      <w:pPr>
        <w:pStyle w:val="Normal"/>
        <w:numPr>
          <w:ilvl w:val="0"/>
          <w:numId w:val="7"/>
        </w:numPr>
        <w:pBdr/>
        <w:ind w:hanging="360" w:start="1080" w:end="1"/>
        <w:jc w:val="both"/>
        <w:rPr>
          <w:color w:val="000000"/>
        </w:rPr>
      </w:pPr>
      <w:r>
        <w:rPr>
          <w:color w:val="000000"/>
        </w:rPr>
        <w:t>Thư chuyển phát bảo đảm đến địa chỉ của Bên nhận như đã ghi trong phần đầu của Hợp đồng hoặc địa chỉ thay đổi đã được thông báo chính thức;</w:t>
      </w:r>
    </w:p>
    <w:p>
      <w:pPr>
        <w:pStyle w:val="Normal"/>
        <w:numPr>
          <w:ilvl w:val="0"/>
          <w:numId w:val="7"/>
        </w:numPr>
        <w:pBdr/>
        <w:ind w:hanging="360" w:start="1080" w:end="1"/>
        <w:jc w:val="both"/>
        <w:rPr>
          <w:color w:val="000000"/>
        </w:rPr>
      </w:pPr>
      <w:r>
        <w:rPr>
          <w:color w:val="000000"/>
        </w:rPr>
        <w:t>Email gửi từ địa chỉ email của người đại diện ký hợp đồng hoặc đầu mối liên hệ được chỉ định chính thức trong hợp đồng hoặc văn bản sau này;</w:t>
      </w:r>
    </w:p>
    <w:p>
      <w:pPr>
        <w:pStyle w:val="Normal"/>
        <w:numPr>
          <w:ilvl w:val="0"/>
          <w:numId w:val="7"/>
        </w:numPr>
        <w:pBdr/>
        <w:ind w:hanging="360" w:start="1080" w:end="1"/>
        <w:jc w:val="both"/>
        <w:rPr>
          <w:color w:val="000000"/>
        </w:rPr>
      </w:pPr>
      <w:r>
        <w:rPr>
          <w:color w:val="000000"/>
        </w:rPr>
        <w:t>Văn bản trực tiếp có chữ ký của người có thẩm quyền và có xác nhận từ Bên nhận.</w:t>
      </w:r>
    </w:p>
    <w:p>
      <w:pPr>
        <w:pStyle w:val="Normal"/>
        <w:numPr>
          <w:ilvl w:val="1"/>
          <w:numId w:val="2"/>
        </w:numPr>
        <w:pBdr/>
        <w:ind w:hanging="567" w:start="1134" w:end="520"/>
        <w:jc w:val="both"/>
        <w:rPr>
          <w:b/>
          <w:bCs/>
          <w:color w:val="000000"/>
        </w:rPr>
      </w:pPr>
      <w:r>
        <w:rPr>
          <w:b/>
          <w:bCs/>
          <w:color w:val="000000"/>
        </w:rPr>
        <w:t>Thời điểm xác lập việc nhận thông báo</w:t>
      </w:r>
    </w:p>
    <w:p>
      <w:pPr>
        <w:pStyle w:val="Normal"/>
        <w:jc w:val="both"/>
        <w:rPr/>
      </w:pPr>
      <w:r>
        <w:rPr/>
        <w:t>Trừ trường hợp hoàn cảnh cụ thể có quy định khác, thời điểm một Bên được coi là đã nhận thông báo hợp lệ được xác định như sau:</w:t>
      </w:r>
    </w:p>
    <w:p>
      <w:pPr>
        <w:pStyle w:val="Normal"/>
        <w:numPr>
          <w:ilvl w:val="0"/>
          <w:numId w:val="8"/>
        </w:numPr>
        <w:ind w:hanging="360" w:start="1080" w:end="520"/>
        <w:jc w:val="both"/>
        <w:rPr/>
      </w:pPr>
      <w:r>
        <w:rPr/>
        <w:t>Đối với thư chuyển phát bảo đảm: Thời điểm người nhận ký nhận hoặc thời điểm hệ thống bưu chính xác nhận đã phát thành công.</w:t>
      </w:r>
    </w:p>
    <w:p>
      <w:pPr>
        <w:pStyle w:val="Normal"/>
        <w:numPr>
          <w:ilvl w:val="0"/>
          <w:numId w:val="8"/>
        </w:numPr>
        <w:ind w:hanging="360" w:start="1080" w:end="520"/>
        <w:jc w:val="both"/>
        <w:rPr/>
      </w:pPr>
      <w:r>
        <w:rPr/>
        <w:t>Đối với email: Thời điểm hệ thống của Bên gửi xác nhận email đã được gửi thành công, với điều kiện trong vòng 24 giờ kể từ thời điểm đó, Bên gửi có gửi thêm một email xác nhận nội dung gửi đi và không nhận được phản hồi lỗi kỹ thuật từ hệ thống email của Bên nhận.</w:t>
      </w:r>
    </w:p>
    <w:p>
      <w:pPr>
        <w:pStyle w:val="Normal"/>
        <w:numPr>
          <w:ilvl w:val="0"/>
          <w:numId w:val="8"/>
        </w:numPr>
        <w:ind w:hanging="360" w:start="1080" w:end="520"/>
        <w:jc w:val="both"/>
        <w:rPr/>
      </w:pPr>
      <w:r>
        <w:rPr/>
        <w:t>Đối với văn bản giao nhận trực tiếp: Thời điểm người đại diện hoặc đầu mối của Bên nhận ký xác nhận vào bản sao văn bản.</w:t>
      </w:r>
    </w:p>
    <w:p>
      <w:pPr>
        <w:pStyle w:val="Normal"/>
        <w:numPr>
          <w:ilvl w:val="1"/>
          <w:numId w:val="2"/>
        </w:numPr>
        <w:pBdr/>
        <w:ind w:hanging="567" w:start="1134" w:end="520"/>
        <w:jc w:val="both"/>
        <w:rPr>
          <w:b/>
          <w:bCs/>
          <w:color w:val="000000"/>
        </w:rPr>
      </w:pPr>
      <w:r>
        <w:rPr>
          <w:b/>
          <w:bCs/>
          <w:color w:val="000000"/>
        </w:rPr>
        <w:t>Thời điểm xác lập việc nhận thông báo</w:t>
      </w:r>
    </w:p>
    <w:p>
      <w:pPr>
        <w:pStyle w:val="Normal"/>
        <w:numPr>
          <w:ilvl w:val="0"/>
          <w:numId w:val="8"/>
        </w:numPr>
        <w:ind w:hanging="360" w:start="1080" w:end="520"/>
        <w:jc w:val="both"/>
        <w:rPr/>
      </w:pPr>
      <w:r>
        <w:rPr/>
        <w:t>Mỗi Bên có trách nhiệm thông báo kịp thời và chính thức bằng văn bản hoặc email về bất kỳ thay đổi nào liên quan đến thông tin liên hệ (địa chỉ, email, người đại diện, đầu mối phụ trách…). Thông báo thay đổi chỉ có hiệu lực sau khi đã được Bên còn lại xác nhận bằng văn bản hoặc email.</w:t>
      </w:r>
    </w:p>
    <w:p>
      <w:pPr>
        <w:pStyle w:val="Normal"/>
        <w:numPr>
          <w:ilvl w:val="0"/>
          <w:numId w:val="8"/>
        </w:numPr>
        <w:ind w:hanging="360" w:start="1080" w:end="520"/>
        <w:jc w:val="both"/>
        <w:rPr/>
      </w:pPr>
      <w:r>
        <w:rPr/>
        <w:t>Trường hợp Bên thay đổi thông tin nhưng không thông báo hoặc thông báo không hợp lệ, Bên còn lại được miễn trừ mọi trách nhiệm pháp lý phát sinh do việc không tiếp nhận, chậm tiếp nhận hoặc không thực hiện nghĩa vụ liên quan đến liên lạc.</w:t>
      </w:r>
    </w:p>
    <w:p>
      <w:pPr>
        <w:pStyle w:val="Normal"/>
        <w:numPr>
          <w:ilvl w:val="1"/>
          <w:numId w:val="2"/>
        </w:numPr>
        <w:pBdr/>
        <w:ind w:hanging="567" w:start="1134" w:end="520"/>
        <w:jc w:val="both"/>
        <w:rPr>
          <w:b/>
          <w:bCs/>
          <w:color w:val="000000"/>
        </w:rPr>
      </w:pPr>
      <w:r>
        <w:rPr>
          <w:b/>
          <w:bCs/>
          <w:color w:val="000000"/>
        </w:rPr>
        <w:t>Thời điểm xác lập việc nhận thông báo</w:t>
      </w:r>
    </w:p>
    <w:p>
      <w:pPr>
        <w:pStyle w:val="Normal"/>
        <w:ind w:firstLine="567" w:end="520"/>
        <w:jc w:val="both"/>
        <w:rPr/>
      </w:pPr>
      <w:r>
        <w:rPr/>
        <w:t>Mỗi Bên sẽ chỉ định ít nhất một đầu mối liên hệ chính thức để phối hợp triển khai công việc liên quan đến hợp đồng. Danh sách đầu mối liên hệ (bao gồm họ tên, chức vụ, số điện thoại, email) sẽ được xác nhận tại thời điểm ký hợp đồng và có thể được cập nhật bằng thông báo chính thức giữa hai Bên.</w:t>
      </w:r>
    </w:p>
    <w:p>
      <w:pPr>
        <w:pStyle w:val="Normal"/>
        <w:numPr>
          <w:ilvl w:val="0"/>
          <w:numId w:val="2"/>
        </w:numPr>
        <w:pBdr/>
        <w:ind w:end="520"/>
        <w:rPr>
          <w:b/>
          <w:bCs/>
          <w:color w:val="000000"/>
        </w:rPr>
      </w:pPr>
      <w:r>
        <w:rPr>
          <w:b/>
          <w:bCs/>
          <w:color w:val="000000"/>
        </w:rPr>
        <w:t>QUYỀN LỢI VÀ TRÁCH NHIỆM CỦA CÁC BÊN</w:t>
      </w:r>
    </w:p>
    <w:p>
      <w:pPr>
        <w:pStyle w:val="Normal"/>
        <w:numPr>
          <w:ilvl w:val="1"/>
          <w:numId w:val="2"/>
        </w:numPr>
        <w:pBdr/>
        <w:ind w:hanging="567" w:start="1134" w:end="520"/>
        <w:rPr>
          <w:b/>
          <w:bCs/>
          <w:color w:val="000000"/>
        </w:rPr>
      </w:pPr>
      <w:r>
        <w:rPr>
          <w:b/>
          <w:bCs/>
          <w:color w:val="000000"/>
        </w:rPr>
        <w:t>Quyền lợi bên A</w:t>
      </w:r>
    </w:p>
    <w:p>
      <w:pPr>
        <w:pStyle w:val="Normal"/>
        <w:numPr>
          <w:ilvl w:val="0"/>
          <w:numId w:val="4"/>
        </w:numPr>
        <w:pBdr/>
        <w:ind w:hanging="360" w:start="1080" w:end="1"/>
        <w:jc w:val="both"/>
        <w:rPr>
          <w:color w:val="000000"/>
        </w:rPr>
      </w:pPr>
      <w:r>
        <w:rPr>
          <w:color w:val="000000"/>
        </w:rPr>
        <w:t>Yêu cầu Bên B cung cấp đầy đủ, chính xác và đúng hạn dữ liệu kết quả tính giờ (bao gồm bảng kết quả tổng hợp, dữ liệu kỹ thuật, hình ảnh minh chứng nếu có) để phục vụ công tác tổng kết, truyền thông.</w:t>
      </w:r>
    </w:p>
    <w:p>
      <w:pPr>
        <w:pStyle w:val="Normal"/>
        <w:numPr>
          <w:ilvl w:val="0"/>
          <w:numId w:val="4"/>
        </w:numPr>
        <w:pBdr/>
        <w:ind w:hanging="360" w:start="1080" w:end="1"/>
        <w:jc w:val="both"/>
        <w:rPr>
          <w:color w:val="000000"/>
        </w:rPr>
      </w:pPr>
      <w:r>
        <w:rPr>
          <w:color w:val="000000"/>
        </w:rPr>
        <w:t>Kiểm tra, giám sát quá trình triển khai dịch vụ tính giờ để đảm bảo tính minh bạch, chính xác và tuân thủ quy định chuyên môn.</w:t>
      </w:r>
    </w:p>
    <w:p>
      <w:pPr>
        <w:pStyle w:val="Normal"/>
        <w:numPr>
          <w:ilvl w:val="0"/>
          <w:numId w:val="4"/>
        </w:numPr>
        <w:pBdr/>
        <w:ind w:hanging="360" w:start="1080" w:end="1"/>
        <w:jc w:val="both"/>
        <w:rPr>
          <w:color w:val="000000"/>
        </w:rPr>
      </w:pPr>
      <w:r>
        <w:rPr>
          <w:color w:val="000000"/>
        </w:rPr>
        <w:t>Sử dụng kết quả tính giờ và dữ liệu liên quan do Bên B thu thập phục vụ mục đích truyền thông, lưu trữ và tổ chức sự kiện, với điều kiện tuân thủ các quy định bảo mật thông tin.</w:t>
      </w:r>
    </w:p>
    <w:p>
      <w:pPr>
        <w:pStyle w:val="Normal"/>
        <w:numPr>
          <w:ilvl w:val="0"/>
          <w:numId w:val="4"/>
        </w:numPr>
        <w:pBdr/>
        <w:ind w:hanging="360" w:start="1080" w:end="1"/>
        <w:jc w:val="both"/>
        <w:rPr>
          <w:color w:val="000000"/>
        </w:rPr>
      </w:pPr>
      <w:r>
        <w:rPr>
          <w:color w:val="000000"/>
        </w:rPr>
        <w:t>Yêu cầu điều chỉnh hoặc làm rõ các nội dung liên quan đến kết quả nếu có căn cứ nghi ngờ sai lệch trong quá trình cung cấp dịch vụ.</w:t>
      </w:r>
    </w:p>
    <w:p>
      <w:pPr>
        <w:pStyle w:val="Normal"/>
        <w:numPr>
          <w:ilvl w:val="1"/>
          <w:numId w:val="2"/>
        </w:numPr>
        <w:pBdr/>
        <w:ind w:hanging="567" w:start="1134" w:end="1"/>
        <w:jc w:val="both"/>
        <w:rPr>
          <w:b/>
          <w:bCs/>
          <w:color w:val="000000"/>
        </w:rPr>
      </w:pPr>
      <w:r>
        <w:rPr>
          <w:b/>
          <w:bCs/>
          <w:color w:val="000000"/>
        </w:rPr>
        <w:t>Trách nhiệm bên A</w:t>
      </w:r>
    </w:p>
    <w:p>
      <w:pPr>
        <w:pStyle w:val="Normal"/>
        <w:numPr>
          <w:ilvl w:val="0"/>
          <w:numId w:val="4"/>
        </w:numPr>
        <w:pBdr/>
        <w:spacing w:before="0" w:after="60"/>
        <w:ind w:hanging="357" w:start="1080" w:end="1"/>
        <w:jc w:val="both"/>
        <w:rPr>
          <w:color w:val="000000"/>
        </w:rPr>
      </w:pPr>
      <w:r>
        <w:rPr>
          <w:color w:val="000000"/>
        </w:rPr>
        <w:t>Cung cấp miễn phí và đúng hạn:</w:t>
      </w:r>
    </w:p>
    <w:p>
      <w:pPr>
        <w:pStyle w:val="Normal"/>
        <w:numPr>
          <w:ilvl w:val="0"/>
          <w:numId w:val="5"/>
        </w:numPr>
        <w:spacing w:lineRule="auto" w:line="240" w:before="60" w:after="60"/>
        <w:ind w:hanging="357" w:start="1440" w:end="0"/>
        <w:jc w:val="both"/>
        <w:rPr/>
      </w:pPr>
      <w:r>
        <w:rPr/>
        <w:t>Tài liệu mô tả sự kiện, sơ đồ đường chạy, vị trí thảm tính giờ;</w:t>
      </w:r>
    </w:p>
    <w:p>
      <w:pPr>
        <w:pStyle w:val="Normal"/>
        <w:numPr>
          <w:ilvl w:val="0"/>
          <w:numId w:val="5"/>
        </w:numPr>
        <w:spacing w:lineRule="auto" w:line="240" w:before="60" w:after="60"/>
        <w:ind w:hanging="357" w:start="1440" w:end="0"/>
        <w:jc w:val="both"/>
        <w:rPr/>
      </w:pPr>
      <w:r>
        <w:rPr/>
        <w:t>Danh sách vận động viên đúng mẫu;</w:t>
      </w:r>
    </w:p>
    <w:p>
      <w:pPr>
        <w:pStyle w:val="Normal"/>
        <w:numPr>
          <w:ilvl w:val="0"/>
          <w:numId w:val="5"/>
        </w:numPr>
        <w:spacing w:lineRule="auto" w:line="240" w:before="60" w:after="60"/>
        <w:ind w:hanging="357" w:start="1440" w:end="0"/>
        <w:jc w:val="both"/>
        <w:rPr/>
      </w:pPr>
      <w:r>
        <w:rPr/>
        <w:t>Mẫu chứng nhận kết quả (PDF, 500KB–1000KB), gửi trước ít nhất 07 ngày;</w:t>
      </w:r>
    </w:p>
    <w:p>
      <w:pPr>
        <w:pStyle w:val="Normal"/>
        <w:numPr>
          <w:ilvl w:val="0"/>
          <w:numId w:val="5"/>
        </w:numPr>
        <w:spacing w:lineRule="auto" w:line="240" w:before="60" w:after="60"/>
        <w:ind w:hanging="357" w:start="1440" w:end="0"/>
        <w:jc w:val="both"/>
        <w:rPr/>
      </w:pPr>
      <w:r>
        <w:rPr/>
        <w:t>Mẫu thiết kế số đeo (bib), dải số, số lượng bib và chip, gửi trước ít nhất 21 ngày.</w:t>
      </w:r>
    </w:p>
    <w:p>
      <w:pPr>
        <w:pStyle w:val="Normal"/>
        <w:numPr>
          <w:ilvl w:val="0"/>
          <w:numId w:val="4"/>
        </w:numPr>
        <w:pBdr/>
        <w:spacing w:before="60" w:after="0"/>
        <w:ind w:hanging="357" w:start="1080" w:end="1"/>
        <w:jc w:val="both"/>
        <w:rPr>
          <w:color w:val="000000"/>
        </w:rPr>
      </w:pPr>
      <w:r>
        <w:rPr>
          <w:color w:val="000000"/>
        </w:rPr>
        <w:t>Gửi danh sách vận động viên cuối cùng đúng định dạng không muộn hơn 21:00 ngày trước sự kiện. Mọi thay đổi sau thời điểm này sẽ tính thêm phí phát sinh.</w:t>
      </w:r>
    </w:p>
    <w:p>
      <w:pPr>
        <w:pStyle w:val="Normal"/>
        <w:numPr>
          <w:ilvl w:val="0"/>
          <w:numId w:val="4"/>
        </w:numPr>
        <w:pBdr/>
        <w:spacing w:before="0" w:after="60"/>
        <w:ind w:hanging="357" w:start="1080" w:end="1"/>
        <w:jc w:val="both"/>
        <w:rPr>
          <w:color w:val="000000"/>
        </w:rPr>
      </w:pPr>
      <w:r>
        <w:rPr>
          <w:color w:val="000000"/>
        </w:rPr>
        <w:t>Đảm bảo điều kiện triển khai cho Bên B:</w:t>
      </w:r>
    </w:p>
    <w:p>
      <w:pPr>
        <w:pStyle w:val="Normal"/>
        <w:numPr>
          <w:ilvl w:val="0"/>
          <w:numId w:val="6"/>
        </w:numPr>
        <w:spacing w:lineRule="auto" w:line="240" w:before="60" w:after="60"/>
        <w:ind w:hanging="357" w:start="1440" w:end="0"/>
        <w:jc w:val="both"/>
        <w:rPr/>
      </w:pPr>
      <w:r>
        <w:rPr/>
        <w:t>Cung cấp đầy đủ cọc tiêu, hàng rào, lều 3x3m có mái che, quạt, ổ điện tại khu vực đích;</w:t>
      </w:r>
    </w:p>
    <w:p>
      <w:pPr>
        <w:pStyle w:val="Normal"/>
        <w:numPr>
          <w:ilvl w:val="0"/>
          <w:numId w:val="6"/>
        </w:numPr>
        <w:spacing w:lineRule="auto" w:line="240" w:before="60" w:after="60"/>
        <w:ind w:hanging="357" w:start="1440" w:end="0"/>
        <w:jc w:val="both"/>
        <w:rPr/>
      </w:pPr>
      <w:r>
        <w:rPr>
          <w:b/>
          <w:bCs/>
        </w:rPr>
        <w:t>Hỗ trợ</w:t>
      </w:r>
      <w:r>
        <w:rPr/>
        <w:t xml:space="preserve"> nhân sự phối hợp, đảm bảo an ninh, bảo vệ thiết bị của Bên B;</w:t>
      </w:r>
    </w:p>
    <w:p>
      <w:pPr>
        <w:pStyle w:val="Normal"/>
        <w:numPr>
          <w:ilvl w:val="0"/>
          <w:numId w:val="6"/>
        </w:numPr>
        <w:spacing w:lineRule="auto" w:line="240" w:before="60" w:after="60"/>
        <w:ind w:hanging="357" w:start="1440" w:end="0"/>
        <w:jc w:val="both"/>
        <w:rPr/>
      </w:pPr>
      <w:r>
        <w:rPr/>
        <w:t>Đảm bảo quyền tiếp cận và hoạt động không bị gián đoạn từ ít nhất 5 giờ trước đến 5 giờ sau sự kiện;</w:t>
      </w:r>
    </w:p>
    <w:p>
      <w:pPr>
        <w:pStyle w:val="Normal"/>
        <w:numPr>
          <w:ilvl w:val="0"/>
          <w:numId w:val="6"/>
        </w:numPr>
        <w:spacing w:lineRule="auto" w:line="240" w:before="60" w:after="60"/>
        <w:ind w:hanging="357" w:start="1440" w:end="0"/>
        <w:jc w:val="both"/>
        <w:rPr/>
      </w:pPr>
      <w:r>
        <w:rPr/>
        <w:t>Phối hợp với cơ quan chức năng để đảm bảo pháp lý cho triển khai dịch vụ (nếu cần).</w:t>
      </w:r>
    </w:p>
    <w:p>
      <w:pPr>
        <w:pStyle w:val="Normal"/>
        <w:numPr>
          <w:ilvl w:val="0"/>
          <w:numId w:val="4"/>
        </w:numPr>
        <w:pBdr/>
        <w:spacing w:before="60" w:after="0"/>
        <w:ind w:hanging="357" w:start="1080" w:end="1"/>
        <w:jc w:val="both"/>
        <w:rPr>
          <w:color w:val="000000"/>
        </w:rPr>
      </w:pPr>
      <w:r>
        <w:rPr>
          <w:color w:val="000000"/>
        </w:rPr>
        <w:t>Thực hiện đầy đủ nghĩa vụ thanh toán theo tiến độ, đảm bảo không làm ảnh hưởng đến hoạt động của Bên B.</w:t>
      </w:r>
    </w:p>
    <w:p>
      <w:pPr>
        <w:pStyle w:val="Normal"/>
        <w:numPr>
          <w:ilvl w:val="1"/>
          <w:numId w:val="2"/>
        </w:numPr>
        <w:pBdr/>
        <w:ind w:hanging="567" w:start="1134" w:end="1"/>
        <w:jc w:val="both"/>
        <w:rPr>
          <w:b/>
          <w:bCs/>
          <w:color w:val="000000"/>
        </w:rPr>
      </w:pPr>
      <w:r>
        <w:rPr>
          <w:b/>
          <w:bCs/>
          <w:color w:val="000000"/>
        </w:rPr>
        <w:t>Quyền lợi bên B</w:t>
      </w:r>
    </w:p>
    <w:p>
      <w:pPr>
        <w:pStyle w:val="Normal"/>
        <w:numPr>
          <w:ilvl w:val="0"/>
          <w:numId w:val="4"/>
        </w:numPr>
        <w:pBdr/>
        <w:ind w:hanging="360" w:start="1080" w:end="1"/>
        <w:jc w:val="both"/>
        <w:rPr>
          <w:color w:val="000000"/>
        </w:rPr>
      </w:pPr>
      <w:r>
        <w:rPr>
          <w:color w:val="000000"/>
        </w:rPr>
        <w:t>Được đề cập hợp tác với Bên A và sự kiện trong các tài liệu truyền thông hoặc hồ sơ năng lực, với điều kiện không sử dụng tên/logo Bên A nếu chưa được phê duyệt.</w:t>
      </w:r>
    </w:p>
    <w:p>
      <w:pPr>
        <w:pStyle w:val="Normal"/>
        <w:numPr>
          <w:ilvl w:val="0"/>
          <w:numId w:val="4"/>
        </w:numPr>
        <w:pBdr/>
        <w:ind w:hanging="360" w:start="1080" w:end="1"/>
        <w:jc w:val="both"/>
        <w:rPr>
          <w:color w:val="000000"/>
        </w:rPr>
      </w:pPr>
      <w:r>
        <w:rPr>
          <w:color w:val="000000"/>
        </w:rPr>
        <w:t xml:space="preserve">Được bảo lưu và công bố độc lập kết quả tính giờ đo đúng kỹ thuật, nếu Bên A công bố kết quả khác và hai bên đồng ý công bố số liệu đã thống nhất. </w:t>
      </w:r>
    </w:p>
    <w:p>
      <w:pPr>
        <w:pStyle w:val="Normal"/>
        <w:numPr>
          <w:ilvl w:val="0"/>
          <w:numId w:val="4"/>
        </w:numPr>
        <w:pBdr/>
        <w:ind w:hanging="360" w:start="1080" w:end="1"/>
        <w:jc w:val="both"/>
        <w:rPr>
          <w:color w:val="000000"/>
        </w:rPr>
      </w:pPr>
      <w:r>
        <w:rPr>
          <w:color w:val="000000"/>
        </w:rPr>
        <w:t>Được từ chối thực hiện các yêu cầu nằm ngoài phạm vi dịch vụ đã ký kết nếu không có thỏa thuận bổ sung bằng văn bản.</w:t>
      </w:r>
    </w:p>
    <w:p>
      <w:pPr>
        <w:pStyle w:val="Normal"/>
        <w:numPr>
          <w:ilvl w:val="0"/>
          <w:numId w:val="4"/>
        </w:numPr>
        <w:pBdr/>
        <w:ind w:hanging="360" w:start="1080" w:end="1"/>
        <w:jc w:val="both"/>
        <w:rPr>
          <w:color w:val="000000"/>
        </w:rPr>
      </w:pPr>
      <w:r>
        <w:rPr>
          <w:color w:val="000000"/>
        </w:rPr>
        <w:t>Được yêu cầu Bên A cử đầu mối phối hợp tại hiện trường và hỗ trợ kịp thời khi cần thiết.</w:t>
      </w:r>
    </w:p>
    <w:p>
      <w:pPr>
        <w:pStyle w:val="Normal"/>
        <w:numPr>
          <w:ilvl w:val="0"/>
          <w:numId w:val="4"/>
        </w:numPr>
        <w:pBdr/>
        <w:ind w:hanging="360" w:start="1080" w:end="1"/>
        <w:jc w:val="both"/>
        <w:rPr>
          <w:color w:val="000000"/>
        </w:rPr>
      </w:pPr>
      <w:r>
        <w:rPr>
          <w:color w:val="000000"/>
        </w:rPr>
        <w:t>Được truy cập dữ liệu dịch vụ (kết quả, log kỹ thuật) trong vòng 15 ngày sau sự kiện để phục vụ bảo trì, thống kê hoặc xử lý phản hồi (nếu có).</w:t>
      </w:r>
    </w:p>
    <w:p>
      <w:pPr>
        <w:pStyle w:val="Normal"/>
        <w:numPr>
          <w:ilvl w:val="1"/>
          <w:numId w:val="2"/>
        </w:numPr>
        <w:pBdr/>
        <w:ind w:hanging="567" w:start="1134" w:end="1"/>
        <w:jc w:val="both"/>
        <w:rPr>
          <w:b/>
          <w:bCs/>
          <w:color w:val="000000"/>
        </w:rPr>
      </w:pPr>
      <w:r>
        <w:rPr>
          <w:b/>
          <w:bCs/>
          <w:color w:val="000000"/>
        </w:rPr>
        <w:t>Trách nhiệm bên B</w:t>
      </w:r>
    </w:p>
    <w:p>
      <w:pPr>
        <w:pStyle w:val="Normal"/>
        <w:numPr>
          <w:ilvl w:val="0"/>
          <w:numId w:val="4"/>
        </w:numPr>
        <w:pBdr/>
        <w:ind w:hanging="360" w:start="1080" w:end="1"/>
        <w:jc w:val="both"/>
        <w:rPr>
          <w:color w:val="000000"/>
        </w:rPr>
      </w:pPr>
      <w:r>
        <w:rPr>
          <w:color w:val="000000"/>
        </w:rPr>
        <w:t>Đảm bảo cung cấp đầy đủ, đúng hạn thiết bị, chip, vật tư, nhân sự có chuyên môn phù hợp theo đúng yêu cầu kỹ thuật.</w:t>
      </w:r>
    </w:p>
    <w:p>
      <w:pPr>
        <w:pStyle w:val="Normal"/>
        <w:numPr>
          <w:ilvl w:val="0"/>
          <w:numId w:val="4"/>
        </w:numPr>
        <w:pBdr/>
        <w:ind w:hanging="360" w:start="1080" w:end="1"/>
        <w:jc w:val="both"/>
        <w:rPr>
          <w:color w:val="000000"/>
        </w:rPr>
      </w:pPr>
      <w:r>
        <w:rPr>
          <w:color w:val="000000"/>
        </w:rPr>
        <w:t>Chủ động kiểm tra và nghiệm thu hệ thống thiết bị ít nhất 12 giờ trước khi sự kiện diễn ra, và phối hợp xử lý sự cố phát sinh.</w:t>
      </w:r>
    </w:p>
    <w:p>
      <w:pPr>
        <w:pStyle w:val="Normal"/>
        <w:numPr>
          <w:ilvl w:val="0"/>
          <w:numId w:val="4"/>
        </w:numPr>
        <w:pBdr/>
        <w:ind w:hanging="360" w:start="1080" w:end="1"/>
        <w:jc w:val="both"/>
        <w:rPr>
          <w:color w:val="000000"/>
        </w:rPr>
      </w:pPr>
      <w:r>
        <w:rPr>
          <w:color w:val="000000"/>
        </w:rPr>
        <w:t>Tham gia xử lý tình huống khẩn cấp trong sự kiện (kỹ thuật, y tế, thiên tai…) cùng Bên A để đảm bảo an toàn và duy trì tính liên tục của hệ thống.</w:t>
      </w:r>
    </w:p>
    <w:p>
      <w:pPr>
        <w:pStyle w:val="Normal"/>
        <w:numPr>
          <w:ilvl w:val="0"/>
          <w:numId w:val="4"/>
        </w:numPr>
        <w:pBdr/>
        <w:ind w:hanging="360" w:start="1080" w:end="1"/>
        <w:jc w:val="both"/>
        <w:rPr>
          <w:color w:val="000000"/>
        </w:rPr>
      </w:pPr>
      <w:r>
        <w:rPr>
          <w:color w:val="000000"/>
        </w:rPr>
        <w:t>Tự trang bị hoặc mua bảo hiểm cho thiết bị và nhân sự (nếu cần thiết), chịu trách nhiệm với tài sản của mình trong suốt quá trình làm việc.</w:t>
      </w:r>
    </w:p>
    <w:p>
      <w:pPr>
        <w:pStyle w:val="Normal"/>
        <w:numPr>
          <w:ilvl w:val="0"/>
          <w:numId w:val="4"/>
        </w:numPr>
        <w:pBdr/>
        <w:ind w:hanging="360" w:start="1080" w:end="1"/>
        <w:jc w:val="both"/>
        <w:rPr>
          <w:color w:val="000000"/>
        </w:rPr>
      </w:pPr>
      <w:r>
        <w:rPr>
          <w:color w:val="000000"/>
        </w:rPr>
        <w:t>Tuân thủ quy định về an toàn, an ninh, nội quy sự kiện và quy định pháp luật tại địa phương nơi tổ chức sự kiện.</w:t>
      </w:r>
    </w:p>
    <w:p>
      <w:pPr>
        <w:pStyle w:val="Normal"/>
        <w:numPr>
          <w:ilvl w:val="0"/>
          <w:numId w:val="4"/>
        </w:numPr>
        <w:pBdr/>
        <w:ind w:hanging="360" w:start="1080" w:end="1"/>
        <w:jc w:val="both"/>
        <w:rPr>
          <w:color w:val="000000"/>
        </w:rPr>
      </w:pPr>
      <w:r>
        <w:rPr>
          <w:color w:val="000000"/>
        </w:rPr>
        <w:t>Cung cấp báo cáo tổng hợp kết quả và dữ liệu liên quan (nếu có yêu cầu) trong vòng 05 ngày làm việc kể từ khi sự kiện kết thúc.</w:t>
      </w:r>
    </w:p>
    <w:p>
      <w:pPr>
        <w:pStyle w:val="Normal"/>
        <w:numPr>
          <w:ilvl w:val="0"/>
          <w:numId w:val="4"/>
        </w:numPr>
        <w:pBdr/>
        <w:ind w:hanging="360" w:start="1080" w:end="1"/>
        <w:jc w:val="both"/>
        <w:rPr>
          <w:color w:val="000000"/>
        </w:rPr>
      </w:pPr>
      <w:r>
        <w:rPr>
          <w:color w:val="000000"/>
        </w:rPr>
        <w:t>Bảo mật toàn bộ dữ liệu cá nhân, kết quả vận động viên, tuyệt đối không tiết lộ cho bên thứ ba nếu không có sự đồng ý bằng văn bản từ Bên A.</w:t>
      </w:r>
    </w:p>
    <w:p>
      <w:pPr>
        <w:pStyle w:val="Normal"/>
        <w:ind w:start="567" w:end="1"/>
        <w:jc w:val="both"/>
        <w:rPr>
          <w:b/>
          <w:bCs/>
        </w:rPr>
      </w:pPr>
      <w:r>
        <w:rPr>
          <w:b/>
          <w:bCs/>
        </w:rPr>
      </w:r>
    </w:p>
    <w:p>
      <w:pPr>
        <w:pStyle w:val="Normal"/>
        <w:numPr>
          <w:ilvl w:val="0"/>
          <w:numId w:val="2"/>
        </w:numPr>
        <w:pBdr/>
        <w:ind w:end="1"/>
        <w:rPr>
          <w:b/>
          <w:bCs/>
          <w:color w:val="000000"/>
        </w:rPr>
      </w:pPr>
      <w:bookmarkStart w:id="6" w:name="_heading=h.uszrhvs0wlp4"/>
      <w:bookmarkEnd w:id="6"/>
      <w:r>
        <w:rPr>
          <w:b/>
          <w:bCs/>
          <w:color w:val="000000"/>
        </w:rPr>
        <w:t>CHẤM DỨT HỢP ĐỒNG</w:t>
      </w:r>
    </w:p>
    <w:p>
      <w:pPr>
        <w:pStyle w:val="Normal"/>
        <w:numPr>
          <w:ilvl w:val="1"/>
          <w:numId w:val="2"/>
        </w:numPr>
        <w:pBdr/>
        <w:ind w:hanging="567" w:start="1134" w:end="1"/>
        <w:rPr>
          <w:b/>
          <w:bCs/>
          <w:color w:val="333333"/>
        </w:rPr>
      </w:pPr>
      <w:bookmarkStart w:id="7" w:name="_heading=h.vn7wahp9r8rq"/>
      <w:bookmarkEnd w:id="7"/>
      <w:r>
        <w:rPr>
          <w:b/>
          <w:bCs/>
          <w:color w:val="333333"/>
        </w:rPr>
        <w:t xml:space="preserve">Hợp Đồng có thể chấm dứt theo một trong các trường hợp sau: </w:t>
      </w:r>
    </w:p>
    <w:p>
      <w:pPr>
        <w:pStyle w:val="Normal"/>
        <w:numPr>
          <w:ilvl w:val="0"/>
          <w:numId w:val="3"/>
        </w:numPr>
        <w:pBdr/>
        <w:ind w:hanging="360" w:start="1080" w:end="1"/>
        <w:jc w:val="both"/>
        <w:rPr>
          <w:b/>
          <w:bCs/>
          <w:color w:val="333333"/>
        </w:rPr>
      </w:pPr>
      <w:r>
        <w:rPr>
          <w:color w:val="333333"/>
        </w:rPr>
        <w:t>Hai Bên thỏa thuận chấm dứt Hợp Đồng này bằng văn bản;</w:t>
      </w:r>
    </w:p>
    <w:p>
      <w:pPr>
        <w:pStyle w:val="Normal"/>
        <w:numPr>
          <w:ilvl w:val="0"/>
          <w:numId w:val="3"/>
        </w:numPr>
        <w:pBdr/>
        <w:ind w:hanging="360" w:start="1080" w:end="1"/>
        <w:jc w:val="both"/>
        <w:rPr>
          <w:b/>
          <w:bCs/>
          <w:color w:val="333333"/>
        </w:rPr>
      </w:pPr>
      <w:r>
        <w:rPr>
          <w:color w:val="333333"/>
        </w:rPr>
        <w:t>Các Bên đã hoàn thành đầy đủ các nghĩa vụ của mình theo Hợp Đồng này và Hợp Đồng được tự động thanh lý;</w:t>
      </w:r>
    </w:p>
    <w:p>
      <w:pPr>
        <w:pStyle w:val="Normal"/>
        <w:numPr>
          <w:ilvl w:val="0"/>
          <w:numId w:val="3"/>
        </w:numPr>
        <w:pBdr/>
        <w:ind w:hanging="360" w:start="1080" w:end="1"/>
        <w:jc w:val="both"/>
        <w:rPr>
          <w:b/>
          <w:bCs/>
          <w:color w:val="333333"/>
        </w:rPr>
      </w:pPr>
      <w:r>
        <w:rPr>
          <w:color w:val="333333"/>
        </w:rPr>
        <w:t>Một Bên vi phạm nghĩa vụ theo thỏa thuận tại Hợp đồng này, đã được bên kia thông báo bằng văn bản/thư điện tử trong vòng 15 ngày kể từ ngày nhận được thông báo mà không sửa chữa, khắc phục được sẽ được xem là vi phạm hợp đồng. Bên gửi thông báo được quyền đơn phương chấm dứt hợp đồng. Bên cạnh đó, bên vi phạm sẽ bị xử lý theo quy định tại Điều 7;</w:t>
      </w:r>
    </w:p>
    <w:p>
      <w:pPr>
        <w:pStyle w:val="Normal"/>
        <w:numPr>
          <w:ilvl w:val="0"/>
          <w:numId w:val="3"/>
        </w:numPr>
        <w:pBdr/>
        <w:ind w:hanging="360" w:start="1080" w:end="1"/>
        <w:jc w:val="both"/>
        <w:rPr>
          <w:b/>
          <w:bCs/>
          <w:color w:val="333333"/>
        </w:rPr>
      </w:pPr>
      <w:r>
        <w:rPr>
          <w:color w:val="333333"/>
        </w:rPr>
        <w:t>Một trong hai bên buộc phải giải thể, phá sản theo quyết định của Cơ quan Nhà nước có thẩm quyền.</w:t>
      </w:r>
    </w:p>
    <w:p>
      <w:pPr>
        <w:pStyle w:val="Normal"/>
        <w:numPr>
          <w:ilvl w:val="1"/>
          <w:numId w:val="2"/>
        </w:numPr>
        <w:pBdr/>
        <w:ind w:hanging="567" w:start="1134" w:end="1"/>
        <w:rPr>
          <w:color w:val="000000"/>
          <w:sz w:val="26"/>
          <w:szCs w:val="26"/>
        </w:rPr>
      </w:pPr>
      <w:r>
        <w:rPr>
          <w:b/>
          <w:bCs/>
          <w:color w:val="000000"/>
          <w:sz w:val="26"/>
          <w:szCs w:val="26"/>
        </w:rPr>
        <w:t>Đơn phương chấm dứt trước thời hạn:</w:t>
      </w:r>
      <w:r>
        <w:rPr>
          <w:color w:val="000000"/>
          <w:sz w:val="26"/>
          <w:szCs w:val="26"/>
        </w:rPr>
        <w:t xml:space="preserve"> Trong trường hợp một trong hai bên đơn phương chấm dứt Hợp Đồng này trước thời hạn mà không có lý do chính đáng, không thuộc các yếu tố bất khả kháng thì bên đơn phương chấm dứt hợp đồng sẽ phải thanh toán 100% phí Dịch vụ của hợp đồng cũng như bồi thường toàn bộ thiệt hại (nếu có) cho bên bị vi phạm. </w:t>
      </w:r>
    </w:p>
    <w:p>
      <w:pPr>
        <w:pStyle w:val="Normal"/>
        <w:numPr>
          <w:ilvl w:val="0"/>
          <w:numId w:val="2"/>
        </w:numPr>
        <w:pBdr/>
        <w:ind w:end="1"/>
        <w:rPr>
          <w:b/>
          <w:bCs/>
          <w:color w:val="000000"/>
        </w:rPr>
      </w:pPr>
      <w:r>
        <w:rPr>
          <w:b/>
          <w:bCs/>
          <w:color w:val="000000"/>
        </w:rPr>
        <w:t>BẢO HIỂM VÀ TRÁCH NHIỆM NGHỀ NGHIỆP</w:t>
      </w:r>
    </w:p>
    <w:p>
      <w:pPr>
        <w:pStyle w:val="Normal"/>
        <w:numPr>
          <w:ilvl w:val="1"/>
          <w:numId w:val="2"/>
        </w:numPr>
        <w:pBdr/>
        <w:ind w:hanging="567" w:start="1134" w:end="1"/>
        <w:jc w:val="both"/>
        <w:rPr>
          <w:color w:val="000000"/>
          <w:sz w:val="26"/>
          <w:szCs w:val="26"/>
        </w:rPr>
      </w:pPr>
      <w:r>
        <w:rPr>
          <w:color w:val="000000"/>
          <w:sz w:val="26"/>
          <w:szCs w:val="26"/>
        </w:rPr>
        <w:t>Bên B cam kết duy trì đầy đủ các loại bảo hiểm sau trong suốt thời gian thực hiện hợp đồng:</w:t>
      </w:r>
    </w:p>
    <w:p>
      <w:pPr>
        <w:pStyle w:val="Normal"/>
        <w:numPr>
          <w:ilvl w:val="0"/>
          <w:numId w:val="10"/>
        </w:numPr>
        <w:pBdr/>
        <w:ind w:hanging="360" w:start="1080" w:end="1"/>
        <w:jc w:val="both"/>
        <w:rPr>
          <w:color w:val="000000"/>
          <w:sz w:val="26"/>
          <w:szCs w:val="26"/>
        </w:rPr>
      </w:pPr>
      <w:r>
        <w:rPr>
          <w:b/>
          <w:bCs/>
          <w:color w:val="000000"/>
          <w:sz w:val="26"/>
          <w:szCs w:val="26"/>
        </w:rPr>
        <w:t>“</w:t>
      </w:r>
      <w:r>
        <w:rPr>
          <w:b/>
          <w:bCs/>
          <w:color w:val="000000"/>
          <w:sz w:val="26"/>
          <w:szCs w:val="26"/>
        </w:rPr>
        <w:t>Bảo hiểm thiết bị:</w:t>
      </w:r>
      <w:r>
        <w:rPr>
          <w:color w:val="000000"/>
          <w:sz w:val="26"/>
          <w:szCs w:val="26"/>
        </w:rPr>
        <w:t xml:space="preserve"> cho toàn bộ hệ thống đo thời gian bằng chip, bao gồm nhưng không giới hạn ở: chip đo, máy chủ, hệ thống ăng-ten, máy tính, thiết bị mạng…  </w:t>
      </w:r>
    </w:p>
    <w:p>
      <w:pPr>
        <w:pStyle w:val="Normal"/>
        <w:numPr>
          <w:ilvl w:val="0"/>
          <w:numId w:val="10"/>
        </w:numPr>
        <w:pBdr/>
        <w:ind w:hanging="360" w:start="1080" w:end="1"/>
        <w:jc w:val="both"/>
        <w:rPr>
          <w:color w:val="000000"/>
          <w:sz w:val="26"/>
          <w:szCs w:val="26"/>
        </w:rPr>
      </w:pPr>
      <w:r>
        <w:rPr>
          <w:b/>
          <w:bCs/>
          <w:color w:val="000000"/>
          <w:sz w:val="26"/>
          <w:szCs w:val="26"/>
        </w:rPr>
        <w:t>“</w:t>
      </w:r>
      <w:r>
        <w:rPr>
          <w:b/>
          <w:bCs/>
          <w:color w:val="000000"/>
          <w:sz w:val="26"/>
          <w:szCs w:val="26"/>
        </w:rPr>
        <w:t>Bảo hiểm trách nhiệm nghề nghiệp”,</w:t>
      </w:r>
      <w:r>
        <w:rPr>
          <w:color w:val="000000"/>
          <w:sz w:val="26"/>
          <w:szCs w:val="26"/>
        </w:rPr>
        <w:t xml:space="preserve"> nhằm đảm bảo năng lực tài chính của Bên B trong trường hợp xảy ra thiệt hại do lỗi kỹ thuật, sai sót trong quá trình cung cấp dịch vụ, gây ảnh hưởng đến kết quả sự kiện hoặc dẫn đến khiếu kiện từ Bên A hoặc bên thứ ba.</w:t>
      </w:r>
    </w:p>
    <w:p>
      <w:pPr>
        <w:pStyle w:val="Normal"/>
        <w:numPr>
          <w:ilvl w:val="1"/>
          <w:numId w:val="2"/>
        </w:numPr>
        <w:pBdr/>
        <w:ind w:hanging="567" w:start="1134" w:end="1"/>
        <w:jc w:val="both"/>
        <w:rPr>
          <w:color w:val="000000"/>
          <w:sz w:val="26"/>
          <w:szCs w:val="26"/>
        </w:rPr>
      </w:pPr>
      <w:r>
        <w:rPr>
          <w:color w:val="000000"/>
          <w:sz w:val="26"/>
          <w:szCs w:val="26"/>
        </w:rPr>
        <w:t>Trong vòng [5] ngày kể từ ngày ký hợp đồng, Bên B có trách nhiệm cung cấp bản sao chứng nhận bảo hiểm còn hiệu lực cho Bên A. Trường hợp hết hạn trong thời gian hợp đồng còn hiệu lực, Bên B phải gia hạn và cung cấp bản sao chứng nhận mới.</w:t>
      </w:r>
    </w:p>
    <w:p>
      <w:pPr>
        <w:pStyle w:val="Normal"/>
        <w:ind w:end="1"/>
        <w:jc w:val="both"/>
        <w:rPr>
          <w:sz w:val="26"/>
          <w:szCs w:val="26"/>
        </w:rPr>
      </w:pPr>
      <w:r>
        <w:rPr>
          <w:sz w:val="26"/>
          <w:szCs w:val="26"/>
        </w:rPr>
      </w:r>
    </w:p>
    <w:p>
      <w:pPr>
        <w:pStyle w:val="Normal"/>
        <w:numPr>
          <w:ilvl w:val="1"/>
          <w:numId w:val="2"/>
        </w:numPr>
        <w:pBdr/>
        <w:ind w:hanging="567" w:start="1134" w:end="1"/>
        <w:jc w:val="both"/>
        <w:rPr>
          <w:color w:val="000000"/>
          <w:sz w:val="26"/>
          <w:szCs w:val="26"/>
        </w:rPr>
      </w:pPr>
      <w:r>
        <w:rPr>
          <w:color w:val="000000"/>
          <w:sz w:val="26"/>
          <w:szCs w:val="26"/>
        </w:rPr>
        <w:t>Trường hợp Bên B không có hoặc không duy trì hiệu lực các bảo hiểm nêu trên, Bên A có quyền đơn phương chấm dứt hợp đồng và yêu cầu bồi thường thiệt hại (nếu có).</w:t>
      </w:r>
    </w:p>
    <w:p>
      <w:pPr>
        <w:pStyle w:val="Normal"/>
        <w:numPr>
          <w:ilvl w:val="0"/>
          <w:numId w:val="2"/>
        </w:numPr>
        <w:pBdr/>
        <w:ind w:end="520"/>
        <w:rPr>
          <w:b/>
          <w:bCs/>
          <w:color w:val="000000"/>
        </w:rPr>
      </w:pPr>
      <w:r>
        <w:rPr>
          <w:b/>
          <w:bCs/>
          <w:color w:val="000000"/>
        </w:rPr>
        <w:t>BẤT KHẢ KHÁNG</w:t>
      </w:r>
    </w:p>
    <w:p>
      <w:pPr>
        <w:pStyle w:val="Normal"/>
        <w:numPr>
          <w:ilvl w:val="0"/>
          <w:numId w:val="12"/>
        </w:numPr>
        <w:spacing w:before="120" w:after="0"/>
        <w:ind w:hanging="567" w:start="1134" w:end="92"/>
        <w:jc w:val="both"/>
        <w:rPr>
          <w:sz w:val="26"/>
          <w:szCs w:val="26"/>
        </w:rPr>
      </w:pPr>
      <w:bookmarkStart w:id="8" w:name="_heading=h.wlu40xnk465w"/>
      <w:bookmarkEnd w:id="8"/>
      <w:r>
        <w:rPr>
          <w:sz w:val="26"/>
          <w:szCs w:val="26"/>
        </w:rPr>
        <w:t>Sự kiện bất khả kháng được quy định bao gồm nhưng không giới hạn ở: luật pháp hiện tại hoặc tương lai thay đổi tác động đến các điều khoản hợp đồng, quy định hoặc mệnh lệnh từ các cấp có thẩm quyền can thiệp vào sự kiện hoặc hợp đồng, thiên tai, động đất, sóng thần, lũ lụt, mưa lớn, hỏa hoạn, dịch bệnh, tai nạn, vụ nổ, thương vong, tranh chấp lao động (bao gồm nhưng không giới hạn ở việc đe dọa hoặc đình công tại xưởng làm việc, tẩy chay hoặc đình công ở khu vực gần xưởng), bạo loạn, xáo trộn dân sự, xung đột chiến tranh hoặc vũ trang, chậm trễ của hãng chuyên chở công cộng hoặc hãng chuyên chở quốc tế.</w:t>
      </w:r>
    </w:p>
    <w:p>
      <w:pPr>
        <w:pStyle w:val="Normal"/>
        <w:numPr>
          <w:ilvl w:val="0"/>
          <w:numId w:val="12"/>
        </w:numPr>
        <w:spacing w:before="120" w:after="0"/>
        <w:ind w:hanging="567" w:start="1134" w:end="92"/>
        <w:jc w:val="both"/>
        <w:rPr>
          <w:sz w:val="26"/>
          <w:szCs w:val="26"/>
        </w:rPr>
      </w:pPr>
      <w:bookmarkStart w:id="9" w:name="_heading=h.rehwlgkaiyut"/>
      <w:bookmarkEnd w:id="9"/>
      <w:r>
        <w:rPr>
          <w:sz w:val="26"/>
          <w:szCs w:val="26"/>
        </w:rPr>
        <w:t>Sự kiện bất khả kháng tác động lên một trong hai Bên hoặc cả hai Bên thì các nghĩa vụ của Bên tác động trở sẽ bị tạm ngừng thực hiện vụ mà không bị coi là vi phạm Hợp đồng này.</w:t>
      </w:r>
    </w:p>
    <w:p>
      <w:pPr>
        <w:pStyle w:val="Normal"/>
        <w:numPr>
          <w:ilvl w:val="0"/>
          <w:numId w:val="12"/>
        </w:numPr>
        <w:spacing w:before="120" w:after="0"/>
        <w:ind w:hanging="567" w:start="1134" w:end="92"/>
        <w:jc w:val="both"/>
        <w:rPr>
          <w:sz w:val="26"/>
          <w:szCs w:val="26"/>
        </w:rPr>
      </w:pPr>
      <w:bookmarkStart w:id="10" w:name="_heading=h.cku1yr7o7jnf"/>
      <w:bookmarkEnd w:id="10"/>
      <w:r>
        <w:rPr>
          <w:sz w:val="26"/>
          <w:szCs w:val="26"/>
        </w:rPr>
        <w:t>Nếu Sự kiện bị hủy toàn bộ hoặc một phần do sự kiện bất khả kháng, cả hai Bên sẽ được giải phóng khỏi nghĩa vụ tương ứng của mình. Trong trường hợp này, hai Bên sẽ thỏa thuận trách nhiệm đối với Bên B về tất cả các chi phí thực sự phát sinh mà Bên B đã phải gánh chịu đối với các nghĩa vụ đã thực hiện theo thỏa thuận này cho đến ngày thông báo hủy toàn bộ hoặc phần còn lại của Sự kiện.</w:t>
      </w:r>
    </w:p>
    <w:p>
      <w:pPr>
        <w:pStyle w:val="Normal"/>
        <w:numPr>
          <w:ilvl w:val="0"/>
          <w:numId w:val="12"/>
        </w:numPr>
        <w:spacing w:before="120" w:after="0"/>
        <w:ind w:hanging="567" w:start="1134" w:end="92"/>
        <w:jc w:val="both"/>
        <w:rPr>
          <w:sz w:val="26"/>
          <w:szCs w:val="26"/>
        </w:rPr>
      </w:pPr>
      <w:bookmarkStart w:id="11" w:name="_heading=h.gxsi96cb79iw"/>
      <w:bookmarkEnd w:id="11"/>
      <w:r>
        <w:rPr>
          <w:sz w:val="26"/>
          <w:szCs w:val="26"/>
        </w:rPr>
        <w:t>Trong mọi trường hợp liên quan đến bất khả kháng, hai Bên thống nhất sẽ phối hợp chặt chẽ để đảm bảo kết quả Dịch vụ, khắc phục thiệt hại của nhau và đảm bảo giữ gìn uy tín của nhau trước cộng đồng.</w:t>
      </w:r>
    </w:p>
    <w:p>
      <w:pPr>
        <w:pStyle w:val="Normal"/>
        <w:numPr>
          <w:ilvl w:val="0"/>
          <w:numId w:val="2"/>
        </w:numPr>
        <w:pBdr/>
        <w:ind w:end="520"/>
        <w:rPr>
          <w:b/>
          <w:bCs/>
          <w:color w:val="000000"/>
        </w:rPr>
      </w:pPr>
      <w:bookmarkStart w:id="12" w:name="_heading=h.tzf1no1kgf31"/>
      <w:bookmarkEnd w:id="12"/>
      <w:r>
        <w:rPr>
          <w:b/>
          <w:bCs/>
          <w:color w:val="000000"/>
        </w:rPr>
        <w:t>BỒI THƯỜNG VÀ PHẠT VI PHẠM HỢP ĐỒNG</w:t>
      </w:r>
    </w:p>
    <w:p>
      <w:pPr>
        <w:pStyle w:val="Normal"/>
        <w:numPr>
          <w:ilvl w:val="0"/>
          <w:numId w:val="13"/>
        </w:numPr>
        <w:spacing w:before="120" w:after="0"/>
        <w:ind w:hanging="567" w:start="1134" w:end="92"/>
        <w:jc w:val="both"/>
        <w:rPr>
          <w:sz w:val="26"/>
          <w:szCs w:val="26"/>
        </w:rPr>
      </w:pPr>
      <w:bookmarkStart w:id="13" w:name="_heading=h.q3modbfd8oqc"/>
      <w:bookmarkEnd w:id="13"/>
      <w:r>
        <w:rPr>
          <w:sz w:val="26"/>
          <w:szCs w:val="26"/>
        </w:rPr>
        <w:t>Một trong Hai bên không thực hiện đúng các nghĩa vụ của mình được thỏa thuận tại Hợp Đồng này đều bị xem là vi phạm Hợp Đồng và phải chịu phạt là 8% giá trị phần bị vi phạm. (Trừ trường hợp đơn phương chấm dứt hợp đồng thì chịu phạt giống điều 5) Bên cạnh đó, Bên vi phạm còn phải chịu trách nhiệm bồi thường toàn bộ thiệt hại thực tế phát sinh mà Bên bị vi phạm phải gánh chịu, trừ trường hợp do Sự kiện bất khả kháng hoặc do lỗi của bên còn lại.</w:t>
      </w:r>
    </w:p>
    <w:p>
      <w:pPr>
        <w:pStyle w:val="Normal"/>
        <w:numPr>
          <w:ilvl w:val="0"/>
          <w:numId w:val="13"/>
        </w:numPr>
        <w:spacing w:before="120" w:after="0"/>
        <w:ind w:hanging="567" w:start="1134" w:end="92"/>
        <w:jc w:val="both"/>
        <w:rPr>
          <w:sz w:val="26"/>
          <w:szCs w:val="26"/>
        </w:rPr>
      </w:pPr>
      <w:r>
        <w:rPr>
          <w:sz w:val="26"/>
          <w:szCs w:val="26"/>
        </w:rPr>
        <w:t>Bên vi phạm có nghĩa vụ nộp tiền phạt vi phạm và/hoặc bồi thường thiệt hại cho Bên kia trong thời hạn 10 (mười) ngày kể từ ngày nhận được Thông báo "Đề nghị thanh toán tiền phạt và/hoặc bồi thường thiệt hại". Trong trường hợp chậm nộp tiền phạt vi phạm và/hoặc bồi thường thiệt hại, Bên có nghĩa vụ thanh toán thêm tiền lãi suất chậm trả tương ứng với thời gian chậm nộp với lãi suất bằng quy định tại Điều 5.</w:t>
      </w:r>
    </w:p>
    <w:p>
      <w:pPr>
        <w:pStyle w:val="Normal"/>
        <w:numPr>
          <w:ilvl w:val="0"/>
          <w:numId w:val="13"/>
        </w:numPr>
        <w:spacing w:before="120" w:after="0"/>
        <w:ind w:hanging="567" w:start="1134" w:end="92"/>
        <w:jc w:val="both"/>
        <w:rPr>
          <w:sz w:val="26"/>
          <w:szCs w:val="26"/>
        </w:rPr>
      </w:pPr>
      <w:r>
        <w:rPr>
          <w:sz w:val="26"/>
          <w:szCs w:val="26"/>
        </w:rPr>
        <w:t>Trong mọi trường hợp, nếu có bất kỳ việc khiếu nại, tranh chấp phát sinh liên quan đến Hợp Đồng này, thì Các Bên đồng ý, thống nhất và đảm bảo rằng một phần và/hoặc toàn bộ trách nhiệm của Bên B sẽ không vượt quá mức Phí dịch vụ mà Bên B nhận được theo Hợp Đồng này.</w:t>
      </w:r>
    </w:p>
    <w:p>
      <w:pPr>
        <w:pStyle w:val="Normal"/>
        <w:numPr>
          <w:ilvl w:val="0"/>
          <w:numId w:val="2"/>
        </w:numPr>
        <w:pBdr/>
        <w:ind w:end="520"/>
        <w:rPr>
          <w:b/>
          <w:bCs/>
          <w:color w:val="000000"/>
        </w:rPr>
      </w:pPr>
      <w:r>
        <w:rPr>
          <w:b/>
          <w:bCs/>
          <w:color w:val="000000"/>
        </w:rPr>
        <w:t>BẢO MẬT THÔNG TIN</w:t>
      </w:r>
    </w:p>
    <w:p>
      <w:pPr>
        <w:pStyle w:val="Normal"/>
        <w:numPr>
          <w:ilvl w:val="0"/>
          <w:numId w:val="16"/>
        </w:numPr>
        <w:spacing w:before="120" w:after="0"/>
        <w:ind w:hanging="567" w:start="1134" w:end="92"/>
        <w:jc w:val="both"/>
        <w:rPr>
          <w:sz w:val="26"/>
          <w:szCs w:val="26"/>
        </w:rPr>
      </w:pPr>
      <w:r>
        <w:rPr>
          <w:sz w:val="26"/>
          <w:szCs w:val="26"/>
        </w:rPr>
        <w:t>Các Bên thoả thuận và đảm bảo rằng mỗi Bên phải có trách nhiệm bảo mật và giữ kín tất cả các thông tin được cung cấp bởi một Bên (Bên cung cấp thông tin) đến Bên còn lại (Bên tiếp nhận) và theo đó các thông tin này sẽ không được tiết lộ cho bất kỳ bên thứ ba nào khác mà không có sự chấp thuận trước bằng văn bản của Bên cung cấp thông tin ngoại trừ việc cung cấp thông tin là nhằm mục đích thực hiện Hợp Đồng này hoặc theo lệnh, quyết định của cơ quan Nhà nước có thẩm quyền.</w:t>
      </w:r>
    </w:p>
    <w:p>
      <w:pPr>
        <w:pStyle w:val="Normal"/>
        <w:numPr>
          <w:ilvl w:val="0"/>
          <w:numId w:val="16"/>
        </w:numPr>
        <w:spacing w:before="120" w:after="0"/>
        <w:ind w:hanging="567" w:start="1134" w:end="92"/>
        <w:jc w:val="both"/>
        <w:rPr>
          <w:sz w:val="26"/>
          <w:szCs w:val="26"/>
        </w:rPr>
      </w:pPr>
      <w:r>
        <w:rPr>
          <w:sz w:val="26"/>
          <w:szCs w:val="26"/>
        </w:rPr>
        <w:t>Mọi dữ liệu hình ảnh, video, kết quả vận động viên được tạo ra trong quá trình cung cấp dịch vụ cho sự kiện của Bên A là tài sản của Bên A. Bên B không được sử dụng cho mục đích thương mại hoặc công khai mà không có sự chấp thuận bằng văn bản của Bên A.</w:t>
      </w:r>
    </w:p>
    <w:p>
      <w:pPr>
        <w:pStyle w:val="Normal"/>
        <w:numPr>
          <w:ilvl w:val="0"/>
          <w:numId w:val="16"/>
        </w:numPr>
        <w:spacing w:before="120" w:after="0"/>
        <w:ind w:hanging="567" w:start="1134" w:end="92"/>
        <w:jc w:val="both"/>
        <w:rPr>
          <w:sz w:val="26"/>
          <w:szCs w:val="26"/>
        </w:rPr>
      </w:pPr>
      <w:r>
        <w:rPr>
          <w:sz w:val="26"/>
          <w:szCs w:val="26"/>
        </w:rPr>
        <w:t>Hiệu lực và giới hạn của điều khoản bảo mật:</w:t>
      </w:r>
    </w:p>
    <w:p>
      <w:pPr>
        <w:pStyle w:val="Normal"/>
        <w:numPr>
          <w:ilvl w:val="0"/>
          <w:numId w:val="14"/>
        </w:numPr>
        <w:spacing w:lineRule="auto" w:line="278"/>
        <w:ind w:hanging="567" w:start="1134" w:end="0"/>
        <w:jc w:val="both"/>
        <w:rPr>
          <w:sz w:val="26"/>
          <w:szCs w:val="26"/>
        </w:rPr>
      </w:pPr>
      <w:r>
        <w:rPr>
          <w:sz w:val="26"/>
          <w:szCs w:val="26"/>
        </w:rPr>
        <w:t>Hiệu lực kéo dài: Nghĩa vụ bảo mật theo quy định này sẽ tiếp tục có hiệu lực vô thời hạn sau khi Hợp đồng kết thúc hoặc chấm dứt vì bất kỳ lý do gì.</w:t>
      </w:r>
    </w:p>
    <w:p>
      <w:pPr>
        <w:pStyle w:val="Normal"/>
        <w:numPr>
          <w:ilvl w:val="0"/>
          <w:numId w:val="14"/>
        </w:numPr>
        <w:spacing w:lineRule="auto" w:line="278"/>
        <w:ind w:hanging="567" w:start="1134" w:end="0"/>
        <w:jc w:val="both"/>
        <w:rPr>
          <w:sz w:val="26"/>
          <w:szCs w:val="26"/>
        </w:rPr>
      </w:pPr>
      <w:r>
        <w:rPr>
          <w:sz w:val="26"/>
          <w:szCs w:val="26"/>
        </w:rPr>
        <w:t>Ngoại lệ của nghĩa vụ bảo mật: Các Bên không phải bảo mật đối với các thông tin thuộc một trong các trường hợp sau:</w:t>
      </w:r>
    </w:p>
    <w:p>
      <w:pPr>
        <w:pStyle w:val="Normal"/>
        <w:numPr>
          <w:ilvl w:val="0"/>
          <w:numId w:val="15"/>
        </w:numPr>
        <w:spacing w:lineRule="auto" w:line="278"/>
        <w:ind w:hanging="567" w:start="1134" w:end="0"/>
        <w:jc w:val="both"/>
        <w:rPr>
          <w:sz w:val="26"/>
          <w:szCs w:val="26"/>
        </w:rPr>
      </w:pPr>
      <w:r>
        <w:rPr>
          <w:sz w:val="26"/>
          <w:szCs w:val="26"/>
        </w:rPr>
        <w:t>Thông tin đã được công bố công khai hoặc đã phổ biến rộng rãi không phải do lỗi của Bên tiếp nhận thông tin; hoặc</w:t>
      </w:r>
    </w:p>
    <w:p>
      <w:pPr>
        <w:pStyle w:val="Normal"/>
        <w:numPr>
          <w:ilvl w:val="0"/>
          <w:numId w:val="15"/>
        </w:numPr>
        <w:spacing w:lineRule="auto" w:line="278"/>
        <w:ind w:hanging="567" w:start="1134" w:end="0"/>
        <w:jc w:val="both"/>
        <w:rPr>
          <w:sz w:val="26"/>
          <w:szCs w:val="26"/>
        </w:rPr>
      </w:pPr>
      <w:r>
        <w:rPr>
          <w:sz w:val="26"/>
          <w:szCs w:val="26"/>
        </w:rPr>
        <w:t>Thông tin phải cung cấp theo yêu cầu của cơ quan nhà nước có thẩm quyền theo quy định pháp luật.</w:t>
      </w:r>
    </w:p>
    <w:p>
      <w:pPr>
        <w:pStyle w:val="Normal"/>
        <w:numPr>
          <w:ilvl w:val="0"/>
          <w:numId w:val="16"/>
        </w:numPr>
        <w:ind w:hanging="567" w:start="1134" w:end="92"/>
        <w:jc w:val="both"/>
        <w:rPr>
          <w:sz w:val="26"/>
          <w:szCs w:val="26"/>
        </w:rPr>
      </w:pPr>
      <w:r>
        <w:rPr>
          <w:sz w:val="26"/>
          <w:szCs w:val="26"/>
        </w:rPr>
        <w:t>Nghĩa vụ thông báo: Trong trường hợp Bên tiếp nhận thông tin phải tiết lộ thông tin bảo mật theo yêu cầu của cơ quan nhà nước có thẩm quyền, Bên đó phải thông báo bằng văn bản cho Bên cung cấp thông tin trước khi tiết lộ, nêu rõ lý do, phạm vi thông tin cần tiết lộ và cơ quan yêu cầu tiết lộ.13.3. Các Bên cam kết sẽ tuân thủ các quy định pháp luật về bảo vệ dữ liệu cá nhân được quy định tại Nghị định 13/2023/NĐ-CP ngày 17/04/2023 (và các văn bản hướng dẫn, sửa đổi, bổ sung, thay thế khác (nếu có)) cùng các văn bản pháp luật có liên quan. Đồng thời, các Bên cam kết sẽ trao đổi, thương lượng và/hoặc đồng ý ký kết (các) văn bản, Phụ lục Hợp đồng để điều chỉnh các nội dung liên quan đến việc bảo vệ Dữ liệu cá nhân theo (các) đề xuất, yêu cầu từ Bên còn lại vào mọi thời điểm trong quá trình thực hiện Hợp đồng để đảm bảo tuân thủ quy định pháp luật. Trường hợp Bên nào không tuân thủ các cam kết này, được xem là Bên đó đã vi phạm Hợp đồng và phải chịu hoàn toàn trách nhiệm theo quy định cho các vi phạm do mình gây ra. Bên còn lại có quyền đơn phương chấm dứt Hợp Đồng và các Phụ lục Hợp Đồng ngay lập tức.</w:t>
      </w:r>
    </w:p>
    <w:p>
      <w:pPr>
        <w:pStyle w:val="Normal"/>
        <w:numPr>
          <w:ilvl w:val="0"/>
          <w:numId w:val="16"/>
        </w:numPr>
        <w:spacing w:before="120" w:after="0"/>
        <w:ind w:hanging="567" w:start="1134" w:end="92"/>
        <w:jc w:val="both"/>
        <w:rPr>
          <w:sz w:val="26"/>
          <w:szCs w:val="26"/>
        </w:rPr>
      </w:pPr>
      <w:r>
        <w:rPr>
          <w:sz w:val="26"/>
          <w:szCs w:val="26"/>
        </w:rPr>
        <w:t>Để làm rõ, việc Hai Bên không hoàn thành việc giao kết các văn bản, Phụ lục trong thời hạn đã cam kết mà xuất phát từ lỗi của Một Bên thì được xem là hành vi vi phạm Hợp đồng của Bên đó. Khi đó, Bên còn lại có quyền được miễn trừ trách nhiệm.</w:t>
      </w:r>
    </w:p>
    <w:p>
      <w:pPr>
        <w:pStyle w:val="Normal"/>
        <w:numPr>
          <w:ilvl w:val="0"/>
          <w:numId w:val="2"/>
        </w:numPr>
        <w:pBdr/>
        <w:ind w:end="520"/>
        <w:rPr>
          <w:b/>
          <w:bCs/>
          <w:color w:val="000000"/>
        </w:rPr>
      </w:pPr>
      <w:r>
        <w:rPr>
          <w:b/>
          <w:bCs/>
          <w:color w:val="000000"/>
        </w:rPr>
        <w:t xml:space="preserve"> </w:t>
      </w:r>
      <w:r>
        <w:rPr>
          <w:b/>
          <w:bCs/>
          <w:color w:val="000000"/>
        </w:rPr>
        <w:t>GIẢI QUYẾT TRANH CHẤP HỢP ĐỒNG</w:t>
      </w:r>
    </w:p>
    <w:p>
      <w:pPr>
        <w:pStyle w:val="Normal"/>
        <w:numPr>
          <w:ilvl w:val="0"/>
          <w:numId w:val="17"/>
        </w:numPr>
        <w:spacing w:before="120" w:after="0"/>
        <w:ind w:hanging="567" w:start="1134" w:end="92"/>
        <w:jc w:val="both"/>
        <w:rPr>
          <w:sz w:val="26"/>
          <w:szCs w:val="26"/>
        </w:rPr>
      </w:pPr>
      <w:r>
        <w:rPr>
          <w:sz w:val="26"/>
          <w:szCs w:val="26"/>
        </w:rPr>
        <w:t>Trong quá trình thực hiện Hợp Đồng hai Bên cần chủ động thông báo cho nhau biết tiến độ thực hiện Hợp Đồng, nếu có vấn đề bất lợi phát sinh hoặc xảy ra tranh chấp, các Bên phải kịp thời thông báo bằng văn bản cho nhau biết và phải chủ động bàn bạc giải quyết trên cơ sở thương lượng, tôn trọng quyền và lợi ích hợp pháp của các Bên;</w:t>
      </w:r>
    </w:p>
    <w:p>
      <w:pPr>
        <w:pStyle w:val="Normal"/>
        <w:numPr>
          <w:ilvl w:val="0"/>
          <w:numId w:val="17"/>
        </w:numPr>
        <w:spacing w:before="120" w:after="0"/>
        <w:ind w:hanging="567" w:start="1134" w:end="92"/>
        <w:jc w:val="both"/>
        <w:rPr>
          <w:sz w:val="26"/>
          <w:szCs w:val="26"/>
        </w:rPr>
      </w:pPr>
      <w:r>
        <w:rPr>
          <w:sz w:val="26"/>
          <w:szCs w:val="26"/>
        </w:rPr>
        <w:t>Trong quá trình thực hiện Hợp đồng này, nếu có bất kỳ tranh chấp, mâu thuẫn nào phát sinh từ hoặc liên quan đến Hợp đồng, Các Bên trước hết sẽ nỗ lực cùng nhau thương lượng, thảo luận giải quyết trên tinh thần đôi bên đều có lợi. Trường hợp Các Bên không thể giải quyết được các tranh chấp, mâu thuẫn đó trên tinh thần thiện chí trong vòng 30 (ba mươi) ngày kể từ khi một Bên đề cập vấn đề cho Bên kia bằng văn bản, Các Bên đồng ý rằng vụ việc, tranh chấp sẽ được giải quyết tại Tòa án nhân dân có thẩm quyền theo quy định của pháp luật.</w:t>
      </w:r>
    </w:p>
    <w:p>
      <w:pPr>
        <w:pStyle w:val="Normal"/>
        <w:numPr>
          <w:ilvl w:val="0"/>
          <w:numId w:val="2"/>
        </w:numPr>
        <w:pBdr/>
        <w:ind w:end="520"/>
        <w:rPr>
          <w:b/>
          <w:bCs/>
          <w:color w:val="000000"/>
        </w:rPr>
      </w:pPr>
      <w:r>
        <w:rPr>
          <w:b/>
          <w:bCs/>
          <w:color w:val="000000"/>
        </w:rPr>
        <w:t xml:space="preserve"> </w:t>
      </w:r>
      <w:r>
        <w:rPr>
          <w:b/>
          <w:bCs/>
          <w:color w:val="000000"/>
        </w:rPr>
        <w:t>ĐIỀU KHOẢN CHUNG</w:t>
      </w:r>
    </w:p>
    <w:p>
      <w:pPr>
        <w:pStyle w:val="Normal"/>
        <w:numPr>
          <w:ilvl w:val="0"/>
          <w:numId w:val="18"/>
        </w:numPr>
        <w:spacing w:before="120" w:after="0"/>
        <w:ind w:hanging="567" w:start="1134" w:end="92"/>
        <w:jc w:val="both"/>
        <w:rPr>
          <w:sz w:val="26"/>
          <w:szCs w:val="26"/>
        </w:rPr>
      </w:pPr>
      <w:r>
        <w:rPr>
          <w:sz w:val="26"/>
          <w:szCs w:val="26"/>
        </w:rPr>
        <w:t>Hợp Đồng này và những phụ lục kèm theo tạo thành một chỉnh thể thống nhất, không tách rời và thay thế tất cả thỏa thuận trước đây bằng miệng hoặc bằng văn bản giữa các Bên.</w:t>
      </w:r>
    </w:p>
    <w:p>
      <w:pPr>
        <w:pStyle w:val="Normal"/>
        <w:numPr>
          <w:ilvl w:val="0"/>
          <w:numId w:val="18"/>
        </w:numPr>
        <w:spacing w:before="120" w:after="0"/>
        <w:ind w:hanging="567" w:start="1134" w:end="92"/>
        <w:jc w:val="both"/>
        <w:rPr>
          <w:sz w:val="26"/>
          <w:szCs w:val="26"/>
        </w:rPr>
      </w:pPr>
      <w:r>
        <w:rPr>
          <w:sz w:val="26"/>
          <w:szCs w:val="26"/>
        </w:rPr>
        <w:t>Mọi sửa đổi, bổ sung hoặc hiệu chỉnh đối với Hợp Đồng này chỉ có giá trị khi được Các Bên lập thành văn bản.</w:t>
      </w:r>
    </w:p>
    <w:p>
      <w:pPr>
        <w:pStyle w:val="Normal"/>
        <w:numPr>
          <w:ilvl w:val="0"/>
          <w:numId w:val="18"/>
        </w:numPr>
        <w:spacing w:before="120" w:after="0"/>
        <w:ind w:hanging="567" w:start="1134" w:end="92"/>
        <w:jc w:val="both"/>
        <w:rPr>
          <w:sz w:val="26"/>
          <w:szCs w:val="26"/>
        </w:rPr>
      </w:pPr>
      <w:r>
        <w:rPr>
          <w:sz w:val="26"/>
          <w:szCs w:val="26"/>
        </w:rPr>
        <w:t>Các Bên cam kết thực hiện đúng và đầy đủ các quyền và nghĩa vụ của mình quy định tại Hợp đồng này và các Phụ lục kèm theo (nếu có).</w:t>
      </w:r>
    </w:p>
    <w:p>
      <w:pPr>
        <w:pStyle w:val="Normal"/>
        <w:numPr>
          <w:ilvl w:val="0"/>
          <w:numId w:val="18"/>
        </w:numPr>
        <w:spacing w:before="120" w:after="0"/>
        <w:ind w:hanging="567" w:start="1134" w:end="92"/>
        <w:jc w:val="both"/>
        <w:rPr>
          <w:sz w:val="26"/>
          <w:szCs w:val="26"/>
        </w:rPr>
      </w:pPr>
      <w:r>
        <w:rPr>
          <w:sz w:val="26"/>
          <w:szCs w:val="26"/>
        </w:rPr>
        <w:t>Mỗi Bên chịu trách nhiệm thanh toán nghĩa vụ thuế của mỗi bên phát sinh từ giao dịch theo Hợp đồng này. Nếu có bất kỳ khoản thuế nào thuộc nghĩa vụ của Bên A mà Bên B có trách nhiệm khấu trừ và nộp hộ theo pháp luật Việt Nam thì Bên B phải tính và khấu trừ, nộp hộ cho Bên A theo đúng quy định của pháp luật. Và khoản tiền này được khấu trừ vào khoản tiền Bên B thanh toán cho Bên A.</w:t>
      </w:r>
    </w:p>
    <w:p>
      <w:pPr>
        <w:pStyle w:val="Normal"/>
        <w:numPr>
          <w:ilvl w:val="0"/>
          <w:numId w:val="18"/>
        </w:numPr>
        <w:spacing w:before="120" w:after="0"/>
        <w:ind w:hanging="567" w:start="1134" w:end="92"/>
        <w:jc w:val="both"/>
        <w:rPr>
          <w:sz w:val="26"/>
          <w:szCs w:val="26"/>
        </w:rPr>
      </w:pPr>
      <w:r>
        <w:rPr>
          <w:sz w:val="26"/>
          <w:szCs w:val="26"/>
        </w:rPr>
        <w:t>Bất kỳ tranh chấp nào phát sinh từ hoặc liên quan đến Hợp Đồng này trước tiên sẽ giải quyết thông qua thương lượng và hòa giải giữa Các Bên. Trong trường hợp giữa Các Bên có tranh chấp mà không thể giải quyết bằng thương lượng và hòa giải thì mọi tranh chấp phát sinh từ hoặc liên quan đến Hợp Đồng này sẽ được giải quyết tại Tòa án Nhân dân có thẩm quyền của Việt Nam.</w:t>
      </w:r>
    </w:p>
    <w:p>
      <w:pPr>
        <w:pStyle w:val="Normal"/>
        <w:numPr>
          <w:ilvl w:val="0"/>
          <w:numId w:val="18"/>
        </w:numPr>
        <w:spacing w:before="120" w:after="0"/>
        <w:ind w:hanging="567" w:start="1134" w:end="92"/>
        <w:jc w:val="both"/>
        <w:rPr>
          <w:sz w:val="26"/>
          <w:szCs w:val="26"/>
        </w:rPr>
      </w:pPr>
      <w:r>
        <w:rPr>
          <w:sz w:val="26"/>
          <w:szCs w:val="26"/>
        </w:rPr>
        <w:t>Hợp Đồng này được điều chỉnh và giải thích phù hợp với pháp luật Việt Nam.</w:t>
      </w:r>
    </w:p>
    <w:p>
      <w:pPr>
        <w:pStyle w:val="Normal"/>
        <w:numPr>
          <w:ilvl w:val="0"/>
          <w:numId w:val="18"/>
        </w:numPr>
        <w:spacing w:before="120" w:after="0"/>
        <w:ind w:hanging="567" w:start="1134" w:end="92"/>
        <w:jc w:val="both"/>
        <w:rPr>
          <w:sz w:val="26"/>
          <w:szCs w:val="26"/>
        </w:rPr>
      </w:pPr>
      <w:r>
        <w:rPr>
          <w:sz w:val="26"/>
          <w:szCs w:val="26"/>
        </w:rPr>
        <w:t>Các Bên thống nhất rằng trong vòng 07 ngày kể từ ngày Các Bên hoàn thành các nghĩa vụ và/hoặc kết thúc thời hạn theo quy định tại Hợp Đồng này mà không có bất kỳ khiếu nại, tranh chấp của một trong Các Bên hoặc Hai Bên thì Hợp Đồng này được tự động thanh lý.</w:t>
      </w:r>
    </w:p>
    <w:p>
      <w:pPr>
        <w:pStyle w:val="Normal"/>
        <w:numPr>
          <w:ilvl w:val="0"/>
          <w:numId w:val="18"/>
        </w:numPr>
        <w:spacing w:before="120" w:after="0"/>
        <w:ind w:hanging="567" w:start="1134" w:end="92"/>
        <w:jc w:val="both"/>
        <w:rPr>
          <w:sz w:val="26"/>
          <w:szCs w:val="26"/>
        </w:rPr>
      </w:pPr>
      <w:r>
        <w:rPr>
          <w:sz w:val="26"/>
          <w:szCs w:val="26"/>
        </w:rPr>
        <w:t>Hợp Đồng này được làm thành 02 (hai) bản gốc bằng tiếng Việt và có giá trị pháp lý như nhau. Mỗi Bên giữ 01 (một) bản để thực hiện.</w:t>
      </w:r>
    </w:p>
    <w:p>
      <w:pPr>
        <w:pStyle w:val="Normal"/>
        <w:spacing w:lineRule="auto" w:line="278" w:before="0" w:after="160"/>
        <w:ind w:end="0"/>
        <w:jc w:val="both"/>
        <w:rPr>
          <w:sz w:val="26"/>
          <w:szCs w:val="26"/>
        </w:rPr>
      </w:pPr>
      <w:r>
        <w:rPr>
          <w:b/>
          <w:bCs/>
          <w:sz w:val="26"/>
          <w:szCs w:val="26"/>
        </w:rPr>
        <w:t>ĐỂ LÀM BẰNG CHỨNG,</w:t>
      </w:r>
      <w:r>
        <w:rPr>
          <w:sz w:val="26"/>
          <w:szCs w:val="26"/>
        </w:rPr>
        <w:t xml:space="preserve"> Các Bên dưới đây đã đồng ý ký tên vào ngày được nêu trên phần đầu của Hợp Đồng này.</w:t>
      </w:r>
    </w:p>
    <w:tbl>
      <w:tblPr>
        <w:tblStyle w:val="a3"/>
        <w:tblW w:w="9842" w:type="dxa"/>
        <w:jc w:val="start"/>
        <w:tblInd w:w="0" w:type="dxa"/>
        <w:tblLayout w:type="fixed"/>
        <w:tblCellMar>
          <w:top w:w="100" w:type="dxa"/>
          <w:start w:w="100" w:type="dxa"/>
          <w:bottom w:w="100" w:type="dxa"/>
          <w:end w:w="100" w:type="dxa"/>
        </w:tblCellMar>
        <w:tblLook w:noHBand="1" w:lastColumn="0" w:firstColumn="0" w:lastRow="0" w:firstRow="0" w:noVBand="1" w:val="0600"/>
      </w:tblPr>
      <w:tblGrid>
        <w:gridCol w:w="4921"/>
        <w:gridCol w:w="4921"/>
      </w:tblGrid>
      <w:tr>
        <w:trPr>
          <w:trHeight w:val="738" w:hRule="atLeast"/>
        </w:trPr>
        <w:tc>
          <w:tcPr>
            <w:tcW w:w="4921" w:type="dxa"/>
            <w:tcBorders/>
            <w:shd w:color="auto" w:fill="auto" w:val="clear"/>
          </w:tcPr>
          <w:p>
            <w:pPr>
              <w:pStyle w:val="Normal"/>
              <w:spacing w:before="120" w:after="120"/>
              <w:jc w:val="center"/>
              <w:rPr>
                <w:rFonts w:ascii="Times New Roman" w:hAnsi="Times New Roman" w:eastAsia="Times New Roman" w:cs="Times New Roman"/>
                <w:b/>
                <w:bCs/>
                <w:sz w:val="26"/>
                <w:szCs w:val="26"/>
              </w:rPr>
            </w:pPr>
            <w:r>
              <w:rPr>
                <w:rFonts w:eastAsia="Times New Roman" w:cs="Times New Roman"/>
                <w:b/>
                <w:bCs/>
                <w:sz w:val="26"/>
                <w:szCs w:val="26"/>
              </w:rPr>
              <w:t xml:space="preserve">         </w:t>
            </w:r>
            <w:r>
              <w:rPr>
                <w:rFonts w:eastAsia="Times New Roman" w:cs="Times New Roman"/>
                <w:b/>
                <w:bCs/>
                <w:sz w:val="26"/>
                <w:szCs w:val="26"/>
              </w:rPr>
              <w:t>ĐẠI DIỆN BÊN A</w:t>
            </w:r>
          </w:p>
          <w:p>
            <w:pPr>
              <w:pStyle w:val="Normal"/>
              <w:widowControl/>
              <w:tabs>
                <w:tab w:val="clear" w:pos="720"/>
                <w:tab w:val="center" w:pos="1985" w:leader="none"/>
                <w:tab w:val="center" w:pos="7371" w:leader="none"/>
              </w:tabs>
              <w:spacing w:lineRule="auto" w:line="276" w:before="120" w:after="120"/>
              <w:ind w:end="0"/>
              <w:jc w:val="center"/>
              <w:rPr>
                <w:rFonts w:ascii="Times New Roman" w:hAnsi="Times New Roman" w:eastAsia="Times New Roman" w:cs="Times New Roman"/>
                <w:b/>
                <w:bCs/>
                <w:sz w:val="26"/>
                <w:szCs w:val="26"/>
              </w:rPr>
            </w:pPr>
            <w:r>
              <w:rPr>
                <w:rFonts w:eastAsia="Times New Roman" w:cs="Times New Roman"/>
                <w:b/>
                <w:bCs/>
                <w:sz w:val="26"/>
                <w:szCs w:val="26"/>
              </w:rPr>
              <w:t xml:space="preserve">  </w:t>
            </w:r>
            <w:r>
              <w:rPr>
                <w:rFonts w:eastAsia="Times New Roman" w:cs="Times New Roman"/>
                <w:b/>
                <w:bCs/>
                <w:sz w:val="26"/>
                <w:szCs w:val="26"/>
              </w:rPr>
              <w:t>{client.position}</w:t>
            </w:r>
          </w:p>
          <w:p>
            <w:pPr>
              <w:pStyle w:val="Normal"/>
              <w:spacing w:before="120" w:after="12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
              <w:spacing w:before="120" w:after="12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
              <w:spacing w:before="120" w:after="120"/>
              <w:jc w:val="center"/>
              <w:rPr>
                <w:rFonts w:ascii="Times New Roman" w:hAnsi="Times New Roman" w:eastAsia="Times New Roman" w:cs="Times New Roman"/>
                <w:sz w:val="26"/>
                <w:szCs w:val="26"/>
              </w:rPr>
            </w:pPr>
            <w:r>
              <w:rPr>
                <w:rFonts w:eastAsia="Times New Roman" w:cs="Times New Roman"/>
                <w:sz w:val="26"/>
                <w:szCs w:val="26"/>
              </w:rPr>
            </w:r>
          </w:p>
        </w:tc>
        <w:tc>
          <w:tcPr>
            <w:tcW w:w="4921" w:type="dxa"/>
            <w:tcBorders/>
            <w:tcMar>
              <w:top w:w="0" w:type="dxa"/>
              <w:start w:w="108" w:type="dxa"/>
              <w:bottom w:w="0" w:type="dxa"/>
              <w:end w:w="108" w:type="dxa"/>
            </w:tcMar>
          </w:tcPr>
          <w:p>
            <w:pPr>
              <w:pStyle w:val="Normal"/>
              <w:spacing w:before="120" w:after="120"/>
              <w:jc w:val="center"/>
              <w:rPr>
                <w:rFonts w:ascii="Times New Roman" w:hAnsi="Times New Roman" w:eastAsia="Times New Roman" w:cs="Times New Roman"/>
                <w:b/>
                <w:bCs/>
                <w:sz w:val="26"/>
                <w:szCs w:val="26"/>
              </w:rPr>
            </w:pPr>
            <w:r>
              <w:rPr>
                <w:rFonts w:eastAsia="Times New Roman" w:cs="Times New Roman"/>
                <w:b/>
                <w:bCs/>
                <w:sz w:val="26"/>
                <w:szCs w:val="26"/>
              </w:rPr>
              <w:t>ĐẠI DIỆN BÊN B</w:t>
            </w:r>
          </w:p>
          <w:p>
            <w:pPr>
              <w:pStyle w:val="Normal"/>
              <w:spacing w:before="120" w:after="120"/>
              <w:jc w:val="center"/>
              <w:rPr>
                <w:rFonts w:ascii="Times New Roman" w:hAnsi="Times New Roman" w:eastAsia="Times New Roman" w:cs="Times New Roman"/>
                <w:b/>
                <w:bCs/>
                <w:i/>
                <w:iCs/>
                <w:sz w:val="26"/>
                <w:szCs w:val="26"/>
              </w:rPr>
            </w:pPr>
            <w:r>
              <w:rPr>
                <w:rFonts w:eastAsia="Times New Roman" w:cs="Times New Roman"/>
                <w:b/>
                <w:bCs/>
                <w:sz w:val="26"/>
                <w:szCs w:val="26"/>
              </w:rPr>
              <w:t>{provider.position}</w:t>
            </w:r>
          </w:p>
        </w:tc>
      </w:tr>
      <w:tr>
        <w:trPr>
          <w:trHeight w:val="738" w:hRule="atLeast"/>
        </w:trPr>
        <w:tc>
          <w:tcPr>
            <w:tcW w:w="4921" w:type="dxa"/>
            <w:tcBorders/>
            <w:shd w:color="auto" w:fill="auto" w:val="clear"/>
          </w:tcPr>
          <w:p>
            <w:pPr>
              <w:pStyle w:val="Normal"/>
              <w:widowControl/>
              <w:tabs>
                <w:tab w:val="clear" w:pos="720"/>
                <w:tab w:val="left" w:pos="1260" w:leader="none"/>
              </w:tabs>
              <w:spacing w:lineRule="auto" w:line="276"/>
              <w:jc w:val="center"/>
              <w:rPr>
                <w:b/>
                <w:bCs/>
                <w:sz w:val="26"/>
                <w:szCs w:val="26"/>
              </w:rPr>
            </w:pPr>
            <w:r>
              <w:rPr>
                <w:rFonts w:eastAsia="Times New Roman" w:cs="Times New Roman"/>
                <w:b/>
                <w:bCs/>
                <w:sz w:val="26"/>
                <w:szCs w:val="26"/>
              </w:rPr>
              <w:t>{client.representative}</w:t>
            </w:r>
          </w:p>
        </w:tc>
        <w:tc>
          <w:tcPr>
            <w:tcW w:w="4921" w:type="dxa"/>
            <w:tcBorders/>
            <w:tcMar>
              <w:top w:w="0" w:type="dxa"/>
              <w:start w:w="108" w:type="dxa"/>
              <w:bottom w:w="0" w:type="dxa"/>
              <w:end w:w="108" w:type="dxa"/>
            </w:tcMar>
          </w:tcPr>
          <w:p>
            <w:pPr>
              <w:pStyle w:val="Normal"/>
              <w:spacing w:before="120" w:after="120"/>
              <w:jc w:val="center"/>
              <w:rPr>
                <w:b/>
                <w:bCs/>
                <w:sz w:val="26"/>
                <w:szCs w:val="26"/>
              </w:rPr>
            </w:pPr>
            <w:r>
              <w:rPr>
                <w:rFonts w:eastAsia="Times New Roman" w:cs="Times New Roman"/>
                <w:b/>
                <w:bCs/>
                <w:sz w:val="26"/>
                <w:szCs w:val="26"/>
              </w:rPr>
              <w:t>{provider.representative}</w:t>
            </w:r>
          </w:p>
        </w:tc>
      </w:tr>
    </w:tbl>
    <w:p>
      <w:pPr>
        <w:pStyle w:val="Normal"/>
        <w:rPr>
          <w:sz w:val="26"/>
          <w:szCs w:val="26"/>
        </w:rPr>
      </w:pPr>
      <w:r>
        <w:rPr>
          <w:sz w:val="26"/>
          <w:szCs w:val="26"/>
        </w:rPr>
      </w:r>
    </w:p>
    <w:p>
      <w:pPr>
        <w:pStyle w:val="Normal"/>
        <w:rPr>
          <w:b/>
          <w:bCs/>
          <w:sz w:val="26"/>
          <w:szCs w:val="26"/>
        </w:rPr>
      </w:pPr>
      <w:r>
        <w:rPr>
          <w:b/>
          <w:bCs/>
          <w:sz w:val="26"/>
          <w:szCs w:val="26"/>
        </w:rPr>
      </w:r>
      <w:bookmarkStart w:id="14" w:name="_heading=h.gz9z3q16d4a"/>
      <w:bookmarkEnd w:id="14"/>
      <w:r>
        <w:br w:type="page"/>
      </w:r>
    </w:p>
    <w:p>
      <w:pPr>
        <w:pStyle w:val="Title"/>
        <w:spacing w:before="0" w:after="120"/>
        <w:rPr>
          <w:sz w:val="26"/>
          <w:szCs w:val="26"/>
        </w:rPr>
      </w:pPr>
      <w:r>
        <w:rPr>
          <w:sz w:val="26"/>
          <w:szCs w:val="26"/>
        </w:rPr>
        <w:t>PHỤ LỤC 01: CHI TIẾT DỊCH VỤ 5BIB CUNG CẤP</w:t>
      </w:r>
    </w:p>
    <w:p>
      <w:pPr>
        <w:pStyle w:val="Normal"/>
        <w:tabs>
          <w:tab w:val="clear" w:pos="720"/>
          <w:tab w:val="left" w:pos="1260" w:leader="none"/>
        </w:tabs>
        <w:spacing w:before="60" w:after="60"/>
        <w:jc w:val="center"/>
        <w:rPr>
          <w:b/>
          <w:bCs/>
          <w:sz w:val="26"/>
          <w:szCs w:val="26"/>
        </w:rPr>
      </w:pPr>
      <w:r>
        <w:rPr>
          <w:b/>
          <w:bCs/>
          <w:sz w:val="26"/>
          <w:szCs w:val="26"/>
        </w:rPr>
        <w:t>Kèm theo hợp đồng Số: {contractNumber}</w:t>
      </w:r>
    </w:p>
    <w:p>
      <w:pPr>
        <w:pStyle w:val="Normal"/>
        <w:tabs>
          <w:tab w:val="clear" w:pos="720"/>
          <w:tab w:val="left" w:pos="1260" w:leader="none"/>
        </w:tabs>
        <w:spacing w:before="60" w:after="60"/>
        <w:ind w:end="-5"/>
        <w:jc w:val="end"/>
        <w:rPr>
          <w:b/>
          <w:bCs/>
          <w:sz w:val="26"/>
          <w:szCs w:val="26"/>
        </w:rPr>
      </w:pPr>
      <w:r>
        <w:rPr>
          <w:b/>
          <w:bCs/>
          <w:sz w:val="26"/>
          <w:szCs w:val="26"/>
        </w:rPr>
        <w:t>Đơn vị tính: VND</w:t>
      </w:r>
    </w:p>
    <w:p>
      <w:pPr>
        <w:pStyle w:val="Normal"/>
        <w:spacing w:before="120" w:after="0"/>
        <w:ind w:end="-551"/>
        <w:rPr>
          <w:b/>
          <w:bCs/>
          <w:sz w:val="26"/>
          <w:szCs w:val="26"/>
        </w:rPr>
      </w:pPr>
      <w:r>
        <w:rPr>
          <w:b/>
          <w:bCs/>
          <w:sz w:val="26"/>
          <w:szCs w:val="26"/>
        </w:rPr>
      </w:r>
    </w:p>
    <w:tbl>
      <w:tblPr>
        <w:tblStyle w:val="a4"/>
        <w:tblW w:w="9780" w:type="dxa"/>
        <w:jc w:val="start"/>
        <w:tblInd w:w="1" w:type="dxa"/>
        <w:tblLayout w:type="fixed"/>
        <w:tblCellMar>
          <w:top w:w="0" w:type="dxa"/>
          <w:start w:w="40" w:type="dxa"/>
          <w:bottom w:w="0" w:type="dxa"/>
          <w:end w:w="40" w:type="dxa"/>
        </w:tblCellMar>
        <w:tblLook w:noHBand="1" w:lastColumn="0" w:firstColumn="0" w:lastRow="0" w:firstRow="0" w:noVBand="1" w:val="0600"/>
      </w:tblPr>
      <w:tblGrid>
        <w:gridCol w:w="690"/>
        <w:gridCol w:w="1454"/>
        <w:gridCol w:w="2100"/>
        <w:gridCol w:w="1606"/>
        <w:gridCol w:w="765"/>
        <w:gridCol w:w="1470"/>
        <w:gridCol w:w="1695"/>
      </w:tblGrid>
      <w:tr>
        <w:trPr>
          <w:trHeight w:val="570" w:hRule="atLeast"/>
        </w:trPr>
        <w:tc>
          <w:tcPr>
            <w:tcW w:w="690" w:type="dxa"/>
            <w:tcBorders>
              <w:top w:val="single" w:sz="6" w:space="0" w:color="000000"/>
              <w:start w:val="single" w:sz="6" w:space="0" w:color="000000"/>
              <w:bottom w:val="single" w:sz="6" w:space="0" w:color="000000"/>
              <w:end w:val="single" w:sz="6" w:space="0" w:color="000000"/>
            </w:tcBorders>
            <w:shd w:color="auto" w:fill="00FFFF" w:val="clear"/>
            <w:vAlign w:val="bottom"/>
          </w:tcPr>
          <w:p>
            <w:pPr>
              <w:pStyle w:val="Normal"/>
              <w:widowControl w:val="false"/>
              <w:ind w:end="0"/>
              <w:jc w:val="center"/>
              <w:rPr/>
            </w:pPr>
            <w:r>
              <w:rPr>
                <w:b/>
                <w:bCs/>
              </w:rPr>
              <w:t>#</w:t>
            </w:r>
          </w:p>
        </w:tc>
        <w:tc>
          <w:tcPr>
            <w:tcW w:w="1454" w:type="dxa"/>
            <w:tcBorders>
              <w:top w:val="single" w:sz="6" w:space="0" w:color="000000"/>
              <w:start w:val="single" w:sz="6" w:space="0" w:color="CCCCCC"/>
              <w:bottom w:val="single" w:sz="6" w:space="0" w:color="000000"/>
              <w:end w:val="single" w:sz="6" w:space="0" w:color="000000"/>
            </w:tcBorders>
            <w:shd w:color="auto" w:fill="00FFFF" w:val="clear"/>
            <w:vAlign w:val="bottom"/>
          </w:tcPr>
          <w:p>
            <w:pPr>
              <w:pStyle w:val="Normal"/>
              <w:widowControl w:val="false"/>
              <w:ind w:end="0"/>
              <w:jc w:val="center"/>
              <w:rPr>
                <w:b/>
                <w:bCs/>
              </w:rPr>
            </w:pPr>
            <w:r>
              <w:rPr>
                <w:b/>
                <w:bCs/>
              </w:rPr>
              <w:t>Item</w:t>
            </w:r>
          </w:p>
          <w:p>
            <w:pPr>
              <w:pStyle w:val="Normal"/>
              <w:widowControl w:val="false"/>
              <w:ind w:end="0"/>
              <w:jc w:val="center"/>
              <w:rPr/>
            </w:pPr>
            <w:r>
              <w:rPr>
                <w:b/>
                <w:bCs/>
              </w:rPr>
              <w:t>(Mục)</w:t>
            </w:r>
          </w:p>
        </w:tc>
        <w:tc>
          <w:tcPr>
            <w:tcW w:w="2100" w:type="dxa"/>
            <w:tcBorders>
              <w:top w:val="single" w:sz="6" w:space="0" w:color="000000"/>
              <w:start w:val="single" w:sz="6" w:space="0" w:color="CCCCCC"/>
              <w:bottom w:val="single" w:sz="6" w:space="0" w:color="000000"/>
              <w:end w:val="single" w:sz="6" w:space="0" w:color="000000"/>
            </w:tcBorders>
            <w:shd w:color="auto" w:fill="00FFFF" w:val="clear"/>
            <w:vAlign w:val="bottom"/>
          </w:tcPr>
          <w:p>
            <w:pPr>
              <w:pStyle w:val="Normal"/>
              <w:widowControl w:val="false"/>
              <w:ind w:end="0"/>
              <w:jc w:val="center"/>
              <w:rPr>
                <w:b/>
                <w:bCs/>
              </w:rPr>
            </w:pPr>
            <w:r>
              <w:rPr>
                <w:b/>
                <w:bCs/>
              </w:rPr>
              <w:t>Description</w:t>
            </w:r>
          </w:p>
          <w:p>
            <w:pPr>
              <w:pStyle w:val="Normal"/>
              <w:widowControl w:val="false"/>
              <w:ind w:end="0"/>
              <w:jc w:val="center"/>
              <w:rPr/>
            </w:pPr>
            <w:r>
              <w:rPr>
                <w:b/>
                <w:bCs/>
              </w:rPr>
              <w:t>(Mô tả)</w:t>
            </w:r>
          </w:p>
        </w:tc>
        <w:tc>
          <w:tcPr>
            <w:tcW w:w="1606" w:type="dxa"/>
            <w:tcBorders>
              <w:top w:val="single" w:sz="6" w:space="0" w:color="000000"/>
              <w:start w:val="single" w:sz="6" w:space="0" w:color="CCCCCC"/>
              <w:bottom w:val="single" w:sz="6" w:space="0" w:color="000000"/>
              <w:end w:val="single" w:sz="6" w:space="0" w:color="000000"/>
            </w:tcBorders>
            <w:shd w:color="auto" w:fill="00FFFF" w:val="clear"/>
            <w:vAlign w:val="bottom"/>
          </w:tcPr>
          <w:p>
            <w:pPr>
              <w:pStyle w:val="Normal"/>
              <w:widowControl w:val="false"/>
              <w:ind w:end="0"/>
              <w:jc w:val="end"/>
              <w:rPr>
                <w:b/>
                <w:bCs/>
              </w:rPr>
            </w:pPr>
            <w:r>
              <w:rPr>
                <w:b/>
                <w:bCs/>
              </w:rPr>
              <w:t>Rate</w:t>
            </w:r>
          </w:p>
          <w:p>
            <w:pPr>
              <w:pStyle w:val="Normal"/>
              <w:widowControl w:val="false"/>
              <w:ind w:end="0"/>
              <w:jc w:val="end"/>
              <w:rPr/>
            </w:pPr>
            <w:r>
              <w:rPr>
                <w:b/>
                <w:bCs/>
              </w:rPr>
              <w:t>(Đơn giá)</w:t>
            </w:r>
          </w:p>
        </w:tc>
        <w:tc>
          <w:tcPr>
            <w:tcW w:w="765" w:type="dxa"/>
            <w:tcBorders>
              <w:top w:val="single" w:sz="6" w:space="0" w:color="000000"/>
              <w:start w:val="single" w:sz="6" w:space="0" w:color="CCCCCC"/>
              <w:bottom w:val="single" w:sz="6" w:space="0" w:color="000000"/>
              <w:end w:val="single" w:sz="6" w:space="0" w:color="000000"/>
            </w:tcBorders>
            <w:shd w:color="auto" w:fill="00FFFF" w:val="clear"/>
            <w:vAlign w:val="bottom"/>
          </w:tcPr>
          <w:p>
            <w:pPr>
              <w:pStyle w:val="Normal"/>
              <w:widowControl w:val="false"/>
              <w:ind w:end="0"/>
              <w:jc w:val="end"/>
              <w:rPr/>
            </w:pPr>
            <w:r>
              <w:rPr>
                <w:b/>
                <w:bCs/>
              </w:rPr>
              <w:t>Số lượng</w:t>
            </w:r>
          </w:p>
        </w:tc>
        <w:tc>
          <w:tcPr>
            <w:tcW w:w="1470" w:type="dxa"/>
            <w:tcBorders>
              <w:top w:val="single" w:sz="6" w:space="0" w:color="000000"/>
              <w:start w:val="single" w:sz="6" w:space="0" w:color="CCCCCC"/>
              <w:bottom w:val="single" w:sz="6" w:space="0" w:color="000000"/>
              <w:end w:val="single" w:sz="6" w:space="0" w:color="000000"/>
            </w:tcBorders>
            <w:shd w:color="auto" w:fill="00FFFF" w:val="clear"/>
            <w:vAlign w:val="bottom"/>
          </w:tcPr>
          <w:p>
            <w:pPr>
              <w:pStyle w:val="Normal"/>
              <w:widowControl w:val="false"/>
              <w:ind w:end="0"/>
              <w:jc w:val="end"/>
              <w:rPr>
                <w:b/>
                <w:bCs/>
              </w:rPr>
            </w:pPr>
            <w:r>
              <w:rPr>
                <w:b/>
                <w:bCs/>
              </w:rPr>
              <w:t>Discount</w:t>
            </w:r>
          </w:p>
          <w:p>
            <w:pPr>
              <w:pStyle w:val="Normal"/>
              <w:widowControl w:val="false"/>
              <w:ind w:end="0"/>
              <w:jc w:val="end"/>
              <w:rPr/>
            </w:pPr>
            <w:r>
              <w:rPr>
                <w:b/>
                <w:bCs/>
              </w:rPr>
              <w:t>(Chiết khấu)</w:t>
            </w:r>
          </w:p>
        </w:tc>
        <w:tc>
          <w:tcPr>
            <w:tcW w:w="1695" w:type="dxa"/>
            <w:tcBorders>
              <w:top w:val="single" w:sz="6" w:space="0" w:color="000000"/>
              <w:start w:val="single" w:sz="6" w:space="0" w:color="CCCCCC"/>
              <w:bottom w:val="single" w:sz="6" w:space="0" w:color="000000"/>
              <w:end w:val="single" w:sz="6" w:space="0" w:color="000000"/>
            </w:tcBorders>
            <w:shd w:color="auto" w:fill="00FFFF" w:val="clear"/>
            <w:vAlign w:val="bottom"/>
          </w:tcPr>
          <w:p>
            <w:pPr>
              <w:pStyle w:val="Normal"/>
              <w:widowControl w:val="false"/>
              <w:ind w:end="0"/>
              <w:jc w:val="end"/>
              <w:rPr>
                <w:b/>
                <w:bCs/>
              </w:rPr>
            </w:pPr>
            <w:r>
              <w:rPr>
                <w:b/>
                <w:bCs/>
              </w:rPr>
              <w:t>Amount</w:t>
            </w:r>
          </w:p>
          <w:p>
            <w:pPr>
              <w:pStyle w:val="Normal"/>
              <w:widowControl w:val="false"/>
              <w:ind w:end="0"/>
              <w:jc w:val="end"/>
              <w:rPr/>
            </w:pPr>
            <w:r>
              <w:rPr>
                <w:b/>
                <w:bCs/>
              </w:rPr>
              <w:t>(Thành tiền)</w:t>
            </w:r>
          </w:p>
        </w:tc>
      </w:tr>
      <w:tr>
        <w:trPr>
          <w:trHeight w:val="315" w:hRule="atLeast"/>
        </w:trPr>
        <w:tc>
          <w:tcPr>
            <w:tcW w:w="9780" w:type="dxa"/>
            <w:gridSpan w:val="7"/>
            <w:tcBorders>
              <w:top w:val="single" w:sz="6" w:space="0" w:color="CCCCCC"/>
              <w:start w:val="single" w:sz="6" w:space="0" w:color="000000"/>
              <w:bottom w:val="single" w:sz="6" w:space="0" w:color="000000"/>
              <w:end w:val="single" w:sz="6" w:space="0" w:color="000000"/>
            </w:tcBorders>
            <w:vAlign w:val="bottom"/>
          </w:tcPr>
          <w:p>
            <w:pPr>
              <w:pStyle w:val="Normal"/>
              <w:widowControl w:val="false"/>
              <w:ind w:end="0"/>
              <w:jc w:val="center"/>
              <w:rPr/>
            </w:pPr>
            <w:r>
              <w:rPr>
                <w:b/>
                <w:bCs/>
              </w:rPr>
              <w:t>Dịch vụ tính thành tích cho sự kiện</w:t>
            </w:r>
          </w:p>
        </w:tc>
      </w:tr>
      <w:tr>
        <w:trPr>
          <w:trHeight w:val="1095" w:hRule="atLeast"/>
        </w:trPr>
        <w:tc>
          <w:tcPr>
            <w:tcW w:w="690" w:type="dxa"/>
            <w:tcBorders>
              <w:top w:val="single" w:sz="6" w:space="0" w:color="CCCCCC"/>
              <w:start w:val="single" w:sz="6" w:space="0" w:color="000000"/>
              <w:bottom w:val="single" w:sz="6" w:space="0" w:color="000000"/>
              <w:end w:val="single" w:sz="6" w:space="0" w:color="000000"/>
            </w:tcBorders>
            <w:shd w:color="auto" w:fill="auto" w:val="clear"/>
            <w:vAlign w:val="bottom"/>
          </w:tcPr>
          <w:p>
            <w:pPr>
              <w:pStyle w:val="Normal"/>
              <w:widowControl w:val="false"/>
              <w:ind w:end="0"/>
              <w:jc w:val="center"/>
              <w:rPr/>
            </w:pPr>
            <w:r>
              <w:rPr/>
              <w:t>{#lineItems}{stt}</w:t>
            </w:r>
          </w:p>
        </w:tc>
        <w:tc>
          <w:tcPr>
            <w:tcW w:w="1454" w:type="dxa"/>
            <w:tcBorders>
              <w:top w:val="single" w:sz="6" w:space="0" w:color="CCCCCC"/>
              <w:start w:val="single" w:sz="6" w:space="0" w:color="CCCCCC"/>
              <w:bottom w:val="single" w:sz="6" w:space="0" w:color="000000"/>
              <w:end w:val="single" w:sz="6" w:space="0" w:color="000000"/>
            </w:tcBorders>
            <w:shd w:color="auto" w:fill="auto" w:val="clear"/>
            <w:vAlign w:val="bottom"/>
          </w:tcPr>
          <w:p>
            <w:pPr>
              <w:pStyle w:val="Normal"/>
              <w:widowControl w:val="false"/>
              <w:ind w:end="0"/>
              <w:rPr/>
            </w:pPr>
            <w:r>
              <w:rPr/>
              <w:t>{description}</w:t>
            </w:r>
          </w:p>
        </w:tc>
        <w:tc>
          <w:tcPr>
            <w:tcW w:w="2100" w:type="dxa"/>
            <w:tcBorders>
              <w:top w:val="single" w:sz="6" w:space="0" w:color="CCCCCC"/>
              <w:start w:val="single" w:sz="6" w:space="0" w:color="CCCCCC"/>
              <w:bottom w:val="single" w:sz="6" w:space="0" w:color="000000"/>
              <w:end w:val="single" w:sz="6" w:space="0" w:color="000000"/>
            </w:tcBorders>
            <w:shd w:color="auto" w:fill="auto" w:val="clear"/>
            <w:vAlign w:val="bottom"/>
          </w:tcPr>
          <w:p>
            <w:pPr>
              <w:pStyle w:val="Normal"/>
              <w:widowControl w:val="false"/>
              <w:ind w:end="0"/>
              <w:rPr/>
            </w:pPr>
            <w:r>
              <w:rPr>
                <w:color w:val="333333"/>
              </w:rPr>
              <w:t>{description}</w:t>
            </w:r>
          </w:p>
        </w:tc>
        <w:tc>
          <w:tcPr>
            <w:tcW w:w="1606" w:type="dxa"/>
            <w:tcBorders>
              <w:top w:val="single" w:sz="6" w:space="0" w:color="CCCCCC"/>
              <w:start w:val="single" w:sz="6" w:space="0" w:color="CCCCCC"/>
              <w:bottom w:val="single" w:sz="6" w:space="0" w:color="000000"/>
              <w:end w:val="single" w:sz="6" w:space="0" w:color="000000"/>
            </w:tcBorders>
            <w:shd w:color="auto" w:fill="auto" w:val="clear"/>
            <w:vAlign w:val="bottom"/>
          </w:tcPr>
          <w:p>
            <w:pPr>
              <w:pStyle w:val="Normal"/>
              <w:widowControl w:val="false"/>
              <w:ind w:end="0"/>
              <w:jc w:val="center"/>
              <w:rPr/>
            </w:pPr>
            <w:r>
              <w:rPr/>
              <w:t>{unitPrice}</w:t>
            </w:r>
          </w:p>
        </w:tc>
        <w:tc>
          <w:tcPr>
            <w:tcW w:w="765" w:type="dxa"/>
            <w:tcBorders>
              <w:top w:val="single" w:sz="6" w:space="0" w:color="CCCCCC"/>
              <w:start w:val="single" w:sz="6" w:space="0" w:color="CCCCCC"/>
              <w:bottom w:val="single" w:sz="6" w:space="0" w:color="000000"/>
              <w:end w:val="single" w:sz="6" w:space="0" w:color="000000"/>
            </w:tcBorders>
            <w:shd w:color="auto" w:fill="auto" w:val="clear"/>
            <w:vAlign w:val="bottom"/>
          </w:tcPr>
          <w:p>
            <w:pPr>
              <w:pStyle w:val="Normal"/>
              <w:widowControl w:val="false"/>
              <w:ind w:end="0"/>
              <w:jc w:val="center"/>
              <w:rPr/>
            </w:pPr>
            <w:r>
              <w:rPr/>
              <w:t>{quantity}</w:t>
            </w:r>
          </w:p>
        </w:tc>
        <w:tc>
          <w:tcPr>
            <w:tcW w:w="1470" w:type="dxa"/>
            <w:tcBorders>
              <w:top w:val="single" w:sz="6" w:space="0" w:color="CCCCCC"/>
              <w:start w:val="single" w:sz="6" w:space="0" w:color="CCCCCC"/>
              <w:bottom w:val="single" w:sz="6" w:space="0" w:color="000000"/>
              <w:end w:val="single" w:sz="6" w:space="0" w:color="000000"/>
            </w:tcBorders>
            <w:shd w:color="auto" w:fill="auto" w:val="clear"/>
            <w:vAlign w:val="bottom"/>
          </w:tcPr>
          <w:p>
            <w:pPr>
              <w:pStyle w:val="Normal"/>
              <w:widowControl w:val="false"/>
              <w:ind w:end="0"/>
              <w:jc w:val="center"/>
              <w:rPr/>
            </w:pPr>
            <w:r>
              <w:rPr/>
              <w:t>{discount}</w:t>
            </w:r>
          </w:p>
        </w:tc>
        <w:tc>
          <w:tcPr>
            <w:tcW w:w="1695" w:type="dxa"/>
            <w:tcBorders>
              <w:top w:val="single" w:sz="6" w:space="0" w:color="CCCCCC"/>
              <w:start w:val="single" w:sz="6" w:space="0" w:color="CCCCCC"/>
              <w:bottom w:val="single" w:sz="6" w:space="0" w:color="000000"/>
              <w:end w:val="single" w:sz="6" w:space="0" w:color="000000"/>
            </w:tcBorders>
            <w:shd w:color="auto" w:fill="auto" w:val="clear"/>
            <w:vAlign w:val="bottom"/>
          </w:tcPr>
          <w:p>
            <w:pPr>
              <w:pStyle w:val="Normal"/>
              <w:widowControl w:val="false"/>
              <w:ind w:end="0"/>
              <w:jc w:val="center"/>
              <w:rPr/>
            </w:pPr>
            <w:r>
              <w:rPr/>
              <w:t>{amount}{/lineItems}</w:t>
            </w:r>
          </w:p>
        </w:tc>
      </w:tr>
    </w:tbl>
    <w:p>
      <w:pPr>
        <w:pStyle w:val="Normal"/>
        <w:spacing w:before="120" w:after="0"/>
        <w:ind w:end="-551"/>
        <w:jc w:val="end"/>
        <w:rPr>
          <w:b/>
          <w:bCs/>
          <w:sz w:val="26"/>
          <w:szCs w:val="26"/>
        </w:rPr>
      </w:pPr>
      <w:r>
        <w:rPr>
          <w:b/>
          <w:bCs/>
          <w:sz w:val="26"/>
          <w:szCs w:val="26"/>
        </w:rPr>
        <w:t xml:space="preserve">Tổng tiền </w:t>
        <w:tab/>
        <w:t>{subtotal} ₫</w:t>
      </w:r>
    </w:p>
    <w:p>
      <w:pPr>
        <w:pStyle w:val="Normal"/>
        <w:spacing w:before="120" w:after="0"/>
        <w:ind w:end="-551"/>
        <w:jc w:val="end"/>
        <w:rPr>
          <w:b/>
          <w:bCs/>
          <w:sz w:val="26"/>
          <w:szCs w:val="26"/>
        </w:rPr>
      </w:pPr>
      <w:r>
        <w:rPr>
          <w:b/>
          <w:bCs/>
          <w:sz w:val="26"/>
          <w:szCs w:val="26"/>
        </w:rPr>
        <w:t>VAT</w:t>
        <w:tab/>
        <w:t>{vatAmount} ₫</w:t>
      </w:r>
    </w:p>
    <w:p>
      <w:pPr>
        <w:pStyle w:val="Normal"/>
        <w:spacing w:before="120" w:after="0"/>
        <w:ind w:end="-551"/>
        <w:jc w:val="end"/>
        <w:rPr>
          <w:b/>
          <w:bCs/>
          <w:sz w:val="26"/>
          <w:szCs w:val="26"/>
        </w:rPr>
      </w:pPr>
      <w:r>
        <w:rPr>
          <w:b/>
          <w:bCs/>
          <w:sz w:val="26"/>
          <w:szCs w:val="26"/>
        </w:rPr>
        <w:t>Tổng tiền sau VAT</w:t>
        <w:tab/>
        <w:t>{totalAmount} ₫</w:t>
      </w:r>
    </w:p>
    <w:p>
      <w:pPr>
        <w:pStyle w:val="Normal"/>
        <w:spacing w:before="120" w:after="0"/>
        <w:ind w:end="-551"/>
        <w:rPr>
          <w:b/>
          <w:bCs/>
          <w:sz w:val="26"/>
          <w:szCs w:val="26"/>
        </w:rPr>
      </w:pPr>
      <w:r>
        <w:rPr>
          <w:b/>
          <w:bCs/>
          <w:sz w:val="26"/>
          <w:szCs w:val="26"/>
        </w:rPr>
      </w:r>
    </w:p>
    <w:tbl>
      <w:tblPr>
        <w:tblStyle w:val="a5"/>
        <w:tblW w:w="9842" w:type="dxa"/>
        <w:jc w:val="start"/>
        <w:tblInd w:w="0" w:type="dxa"/>
        <w:tblLayout w:type="fixed"/>
        <w:tblCellMar>
          <w:top w:w="100" w:type="dxa"/>
          <w:start w:w="100" w:type="dxa"/>
          <w:bottom w:w="100" w:type="dxa"/>
          <w:end w:w="100" w:type="dxa"/>
        </w:tblCellMar>
        <w:tblLook w:noHBand="1" w:lastColumn="0" w:firstColumn="0" w:lastRow="0" w:firstRow="0" w:noVBand="1" w:val="0600"/>
      </w:tblPr>
      <w:tblGrid>
        <w:gridCol w:w="4921"/>
        <w:gridCol w:w="4921"/>
      </w:tblGrid>
      <w:tr>
        <w:trPr>
          <w:trHeight w:val="738" w:hRule="atLeast"/>
        </w:trPr>
        <w:tc>
          <w:tcPr>
            <w:tcW w:w="4921" w:type="dxa"/>
            <w:tcBorders/>
            <w:shd w:color="auto" w:fill="auto" w:val="clear"/>
          </w:tcPr>
          <w:p>
            <w:pPr>
              <w:pStyle w:val="Normal"/>
              <w:spacing w:before="120" w:after="120"/>
              <w:jc w:val="center"/>
              <w:rPr>
                <w:b/>
                <w:bCs/>
                <w:sz w:val="26"/>
                <w:szCs w:val="26"/>
              </w:rPr>
            </w:pPr>
            <w:r>
              <w:rPr>
                <w:b/>
                <w:bCs/>
                <w:sz w:val="26"/>
                <w:szCs w:val="26"/>
              </w:rPr>
              <w:t xml:space="preserve">      </w:t>
            </w:r>
            <w:r>
              <w:rPr>
                <w:b/>
                <w:bCs/>
                <w:sz w:val="26"/>
                <w:szCs w:val="26"/>
              </w:rPr>
              <w:t>ĐẠI DIỆN BÊN A</w:t>
            </w:r>
          </w:p>
          <w:p>
            <w:pPr>
              <w:pStyle w:val="Normal"/>
              <w:tabs>
                <w:tab w:val="clear" w:pos="720"/>
                <w:tab w:val="center" w:pos="1985" w:leader="none"/>
                <w:tab w:val="center" w:pos="7371" w:leader="none"/>
              </w:tabs>
              <w:spacing w:before="120" w:after="120"/>
              <w:ind w:end="0"/>
              <w:jc w:val="center"/>
              <w:rPr>
                <w:b/>
                <w:bCs/>
                <w:sz w:val="26"/>
                <w:szCs w:val="26"/>
              </w:rPr>
            </w:pPr>
            <w:r>
              <w:rPr>
                <w:b/>
                <w:bCs/>
                <w:sz w:val="26"/>
                <w:szCs w:val="26"/>
              </w:rPr>
              <w:t>{client.position}</w:t>
            </w:r>
          </w:p>
          <w:p>
            <w:pPr>
              <w:pStyle w:val="Normal"/>
              <w:spacing w:before="120" w:after="120"/>
              <w:jc w:val="center"/>
              <w:rPr>
                <w:b/>
                <w:bCs/>
                <w:sz w:val="26"/>
                <w:szCs w:val="26"/>
              </w:rPr>
            </w:pPr>
            <w:r>
              <w:rPr>
                <w:b/>
                <w:bCs/>
                <w:sz w:val="26"/>
                <w:szCs w:val="26"/>
              </w:rPr>
            </w:r>
          </w:p>
          <w:p>
            <w:pPr>
              <w:pStyle w:val="Normal"/>
              <w:spacing w:before="120" w:after="120"/>
              <w:jc w:val="center"/>
              <w:rPr>
                <w:b/>
                <w:bCs/>
                <w:sz w:val="26"/>
                <w:szCs w:val="26"/>
              </w:rPr>
            </w:pPr>
            <w:r>
              <w:rPr>
                <w:b/>
                <w:bCs/>
                <w:sz w:val="26"/>
                <w:szCs w:val="26"/>
              </w:rPr>
            </w:r>
          </w:p>
          <w:p>
            <w:pPr>
              <w:pStyle w:val="Normal"/>
              <w:spacing w:before="120" w:after="120"/>
              <w:jc w:val="center"/>
              <w:rPr>
                <w:sz w:val="26"/>
                <w:szCs w:val="26"/>
              </w:rPr>
            </w:pPr>
            <w:r>
              <w:rPr>
                <w:sz w:val="26"/>
                <w:szCs w:val="26"/>
              </w:rPr>
            </w:r>
          </w:p>
        </w:tc>
        <w:tc>
          <w:tcPr>
            <w:tcW w:w="4921" w:type="dxa"/>
            <w:tcBorders/>
            <w:tcMar>
              <w:top w:w="0" w:type="dxa"/>
              <w:start w:w="108" w:type="dxa"/>
              <w:bottom w:w="0" w:type="dxa"/>
              <w:end w:w="108" w:type="dxa"/>
            </w:tcMar>
          </w:tcPr>
          <w:p>
            <w:pPr>
              <w:pStyle w:val="Normal"/>
              <w:spacing w:before="120" w:after="120"/>
              <w:jc w:val="center"/>
              <w:rPr>
                <w:b/>
                <w:bCs/>
                <w:sz w:val="26"/>
                <w:szCs w:val="26"/>
              </w:rPr>
            </w:pPr>
            <w:r>
              <w:rPr>
                <w:b/>
                <w:bCs/>
                <w:sz w:val="26"/>
                <w:szCs w:val="26"/>
              </w:rPr>
              <w:t>ĐẠI DIỆN BÊN B</w:t>
            </w:r>
          </w:p>
          <w:p>
            <w:pPr>
              <w:pStyle w:val="Normal"/>
              <w:spacing w:before="120" w:after="120"/>
              <w:jc w:val="center"/>
              <w:rPr>
                <w:b/>
                <w:bCs/>
                <w:i/>
                <w:iCs/>
                <w:sz w:val="26"/>
                <w:szCs w:val="26"/>
              </w:rPr>
            </w:pPr>
            <w:r>
              <w:rPr>
                <w:b/>
                <w:bCs/>
                <w:sz w:val="26"/>
                <w:szCs w:val="26"/>
              </w:rPr>
              <w:t>{provider.position}</w:t>
            </w:r>
          </w:p>
        </w:tc>
      </w:tr>
      <w:tr>
        <w:trPr>
          <w:trHeight w:val="738" w:hRule="atLeast"/>
        </w:trPr>
        <w:tc>
          <w:tcPr>
            <w:tcW w:w="4921" w:type="dxa"/>
            <w:tcBorders/>
            <w:shd w:color="auto" w:fill="auto" w:val="clear"/>
          </w:tcPr>
          <w:p>
            <w:pPr>
              <w:pStyle w:val="Normal"/>
              <w:tabs>
                <w:tab w:val="clear" w:pos="720"/>
                <w:tab w:val="left" w:pos="1260" w:leader="none"/>
              </w:tabs>
              <w:jc w:val="center"/>
              <w:rPr>
                <w:b/>
                <w:bCs/>
                <w:sz w:val="26"/>
                <w:szCs w:val="26"/>
              </w:rPr>
            </w:pPr>
            <w:r>
              <w:rPr>
                <w:b/>
                <w:bCs/>
                <w:sz w:val="26"/>
                <w:szCs w:val="26"/>
              </w:rPr>
              <w:t>{client.representative}</w:t>
            </w:r>
          </w:p>
        </w:tc>
        <w:tc>
          <w:tcPr>
            <w:tcW w:w="4921" w:type="dxa"/>
            <w:tcBorders/>
            <w:tcMar>
              <w:top w:w="0" w:type="dxa"/>
              <w:start w:w="108" w:type="dxa"/>
              <w:bottom w:w="0" w:type="dxa"/>
              <w:end w:w="108" w:type="dxa"/>
            </w:tcMar>
          </w:tcPr>
          <w:p>
            <w:pPr>
              <w:pStyle w:val="Normal"/>
              <w:spacing w:before="120" w:after="120"/>
              <w:jc w:val="center"/>
              <w:rPr>
                <w:b/>
                <w:bCs/>
                <w:sz w:val="26"/>
                <w:szCs w:val="26"/>
              </w:rPr>
            </w:pPr>
            <w:r>
              <w:rPr>
                <w:b/>
                <w:bCs/>
                <w:sz w:val="26"/>
                <w:szCs w:val="26"/>
              </w:rPr>
              <w:t>{provider.representative}</w:t>
            </w:r>
          </w:p>
        </w:tc>
      </w:tr>
    </w:tbl>
    <w:p>
      <w:pPr>
        <w:pStyle w:val="Normal"/>
        <w:spacing w:before="120" w:after="0"/>
        <w:ind w:end="-551"/>
        <w:rPr>
          <w:b/>
          <w:bCs/>
          <w:sz w:val="26"/>
          <w:szCs w:val="26"/>
        </w:rPr>
      </w:pPr>
      <w:r>
        <w:rPr>
          <w:b/>
          <w:bCs/>
          <w:sz w:val="26"/>
          <w:szCs w:val="26"/>
        </w:rPr>
      </w:r>
    </w:p>
    <w:p>
      <w:pPr>
        <w:pStyle w:val="Normal"/>
        <w:spacing w:before="120" w:after="0"/>
        <w:ind w:end="-551"/>
        <w:jc w:val="end"/>
        <w:rPr>
          <w:b/>
          <w:bCs/>
          <w:sz w:val="26"/>
          <w:szCs w:val="26"/>
        </w:rPr>
      </w:pPr>
      <w:r>
        <w:rPr>
          <w:b/>
          <w:bCs/>
          <w:sz w:val="26"/>
          <w:szCs w:val="26"/>
        </w:rPr>
      </w:r>
    </w:p>
    <w:p>
      <w:pPr>
        <w:pStyle w:val="Normal"/>
        <w:spacing w:before="120" w:after="0"/>
        <w:ind w:end="-551"/>
        <w:jc w:val="end"/>
        <w:rPr>
          <w:b/>
          <w:bCs/>
          <w:sz w:val="26"/>
          <w:szCs w:val="26"/>
        </w:rPr>
      </w:pPr>
      <w:r>
        <w:rPr>
          <w:b/>
          <w:bCs/>
          <w:sz w:val="26"/>
          <w:szCs w:val="26"/>
        </w:rPr>
      </w:r>
    </w:p>
    <w:p>
      <w:pPr>
        <w:pStyle w:val="Normal"/>
        <w:rPr>
          <w:b/>
          <w:bCs/>
          <w:sz w:val="26"/>
          <w:szCs w:val="26"/>
        </w:rPr>
      </w:pPr>
      <w:r>
        <w:rPr>
          <w:b/>
          <w:bCs/>
          <w:sz w:val="26"/>
          <w:szCs w:val="26"/>
        </w:rPr>
      </w:r>
    </w:p>
    <w:p>
      <w:pPr>
        <w:pStyle w:val="Normal"/>
        <w:jc w:val="center"/>
        <w:rPr>
          <w:b/>
          <w:bCs/>
          <w:sz w:val="28"/>
          <w:szCs w:val="28"/>
        </w:rPr>
      </w:pPr>
      <w:r>
        <w:rPr>
          <w:b/>
          <w:bCs/>
          <w:sz w:val="30"/>
          <w:szCs w:val="30"/>
        </w:rPr>
        <w:t xml:space="preserve">PHỤ LỤC 02: </w:t>
      </w:r>
      <w:r>
        <w:rPr>
          <w:b/>
          <w:bCs/>
          <w:sz w:val="28"/>
          <w:szCs w:val="28"/>
        </w:rPr>
        <w:t>VỀ THỎA THUẬN MỨC ĐỘ DỊCH VỤ (SLA – SERVICE LEVEL AGREEMENT)</w:t>
      </w:r>
    </w:p>
    <w:p>
      <w:pPr>
        <w:pStyle w:val="Normal"/>
        <w:tabs>
          <w:tab w:val="clear" w:pos="720"/>
          <w:tab w:val="left" w:pos="1260" w:leader="none"/>
        </w:tabs>
        <w:spacing w:before="60" w:after="60"/>
        <w:jc w:val="center"/>
        <w:rPr>
          <w:b/>
          <w:bCs/>
          <w:sz w:val="26"/>
          <w:szCs w:val="26"/>
        </w:rPr>
      </w:pPr>
      <w:r>
        <w:rPr>
          <w:b/>
          <w:bCs/>
          <w:sz w:val="26"/>
          <w:szCs w:val="26"/>
        </w:rPr>
        <w:t>(Kèm theo hợp đồng Số: {contractNumber})</w:t>
      </w:r>
    </w:p>
    <w:p>
      <w:pPr>
        <w:pStyle w:val="Normal"/>
        <w:rPr/>
      </w:pPr>
      <w:r>
        <w:rPr/>
      </w:r>
    </w:p>
    <w:p>
      <w:pPr>
        <w:pStyle w:val="Heading2"/>
        <w:numPr>
          <w:ilvl w:val="0"/>
          <w:numId w:val="11"/>
        </w:numPr>
        <w:ind w:hanging="360" w:start="360" w:end="520"/>
        <w:rPr>
          <w:rFonts w:ascii="Times New Roman" w:hAnsi="Times New Roman" w:eastAsia="Times New Roman" w:cs="Times New Roman"/>
        </w:rPr>
      </w:pPr>
      <w:r>
        <w:rPr>
          <w:rFonts w:eastAsia="Times New Roman" w:cs="Times New Roman" w:ascii="Times New Roman" w:hAnsi="Times New Roman"/>
        </w:rPr>
        <w:t>Cam kết chất lượng dịch vụ</w:t>
      </w:r>
    </w:p>
    <w:p>
      <w:pPr>
        <w:pStyle w:val="Normal"/>
        <w:rPr/>
      </w:pPr>
      <w:r>
        <w:rPr/>
        <w:t>Bên B cam kết đảm bảo dịch vụ đo thời gian vận hành liên tục, ổn định, không gián đoạn trong toàn bộ thời gian tổ chức giải chạy, theo đúng các thông số kỹ thuật và yêu cầu từ Bên A.</w:t>
      </w:r>
    </w:p>
    <w:p>
      <w:pPr>
        <w:pStyle w:val="Heading2"/>
        <w:numPr>
          <w:ilvl w:val="0"/>
          <w:numId w:val="11"/>
        </w:numPr>
        <w:ind w:hanging="360" w:start="360" w:end="520"/>
        <w:rPr>
          <w:rFonts w:ascii="Times New Roman" w:hAnsi="Times New Roman" w:eastAsia="Times New Roman" w:cs="Times New Roman"/>
        </w:rPr>
      </w:pPr>
      <w:r>
        <w:rPr>
          <w:rFonts w:eastAsia="Times New Roman" w:cs="Times New Roman" w:ascii="Times New Roman" w:hAnsi="Times New Roman"/>
        </w:rPr>
        <w:t>Thời gian phản hồi và xử lý sự cố</w:t>
      </w:r>
    </w:p>
    <w:p>
      <w:pPr>
        <w:pStyle w:val="Heading2"/>
        <w:numPr>
          <w:ilvl w:val="1"/>
          <w:numId w:val="11"/>
        </w:numPr>
        <w:ind w:hanging="432" w:start="792" w:end="520"/>
        <w:rPr>
          <w:rFonts w:ascii="Times New Roman" w:hAnsi="Times New Roman" w:eastAsia="Times New Roman" w:cs="Times New Roman"/>
          <w:b w:val="false"/>
          <w:bCs w:val="false"/>
        </w:rPr>
      </w:pPr>
      <w:r>
        <w:rPr>
          <w:rFonts w:eastAsia="Times New Roman" w:cs="Times New Roman" w:ascii="Times New Roman" w:hAnsi="Times New Roman"/>
          <w:b w:val="false"/>
          <w:bCs w:val="false"/>
        </w:rPr>
        <w:t>Trong thời gian triển khai tại hiện trường, Bên B phải duy trì đội ngũ kỹ thuật trực tại khu vực sự kiện để đảm bảo xử lý sự cố ngay lập tức</w:t>
      </w:r>
    </w:p>
    <w:p>
      <w:pPr>
        <w:pStyle w:val="Heading2"/>
        <w:numPr>
          <w:ilvl w:val="1"/>
          <w:numId w:val="11"/>
        </w:numPr>
        <w:ind w:hanging="432" w:start="792" w:end="520"/>
        <w:rPr>
          <w:rFonts w:ascii="Times New Roman" w:hAnsi="Times New Roman" w:eastAsia="Times New Roman" w:cs="Times New Roman"/>
          <w:b w:val="false"/>
          <w:bCs w:val="false"/>
        </w:rPr>
      </w:pPr>
      <w:r>
        <w:rPr>
          <w:rFonts w:eastAsia="Times New Roman" w:cs="Times New Roman" w:ascii="Times New Roman" w:hAnsi="Times New Roman"/>
          <w:b w:val="false"/>
          <w:bCs w:val="false"/>
        </w:rPr>
        <w:t>Mức độ và thời gian phản hồi được quy định như sau:</w:t>
      </w:r>
    </w:p>
    <w:tbl>
      <w:tblPr>
        <w:tblStyle w:val="a6"/>
        <w:tblW w:w="9062" w:type="dxa"/>
        <w:jc w:val="start"/>
        <w:tblInd w:w="118" w:type="dxa"/>
        <w:tblLayout w:type="fixed"/>
        <w:tblCellMar>
          <w:top w:w="0" w:type="dxa"/>
          <w:start w:w="108" w:type="dxa"/>
          <w:bottom w:w="0" w:type="dxa"/>
          <w:end w:w="108" w:type="dxa"/>
        </w:tblCellMar>
        <w:tblLook w:noHBand="0" w:lastColumn="0" w:firstColumn="0" w:lastRow="0" w:firstRow="0" w:noVBand="1" w:val="0400"/>
      </w:tblPr>
      <w:tblGrid>
        <w:gridCol w:w="2399"/>
        <w:gridCol w:w="3828"/>
        <w:gridCol w:w="1417"/>
        <w:gridCol w:w="1418"/>
      </w:tblGrid>
      <w:tr>
        <w:trPr>
          <w:trHeight w:val="840" w:hRule="atLeast"/>
        </w:trPr>
        <w:tc>
          <w:tcPr>
            <w:tcW w:w="2399" w:type="dxa"/>
            <w:tcBorders>
              <w:top w:val="single" w:sz="8" w:space="0" w:color="000000"/>
              <w:start w:val="single" w:sz="8" w:space="0" w:color="000000"/>
              <w:bottom w:val="single" w:sz="8" w:space="0" w:color="000000"/>
              <w:end w:val="single" w:sz="8" w:space="0" w:color="000000"/>
            </w:tcBorders>
            <w:shd w:color="auto" w:fill="4EA72E" w:val="clear"/>
            <w:vAlign w:val="center"/>
          </w:tcPr>
          <w:p>
            <w:pPr>
              <w:pStyle w:val="Normal"/>
              <w:spacing w:lineRule="auto" w:line="240"/>
              <w:jc w:val="center"/>
              <w:rPr>
                <w:b/>
                <w:bCs/>
                <w:color w:val="000000"/>
              </w:rPr>
            </w:pPr>
            <w:r>
              <w:rPr>
                <w:b/>
                <w:bCs/>
              </w:rPr>
              <w:t>Mức độ sự cố</w:t>
            </w:r>
          </w:p>
        </w:tc>
        <w:tc>
          <w:tcPr>
            <w:tcW w:w="3828" w:type="dxa"/>
            <w:tcBorders>
              <w:top w:val="single" w:sz="8" w:space="0" w:color="000000"/>
              <w:bottom w:val="single" w:sz="8" w:space="0" w:color="000000"/>
              <w:end w:val="single" w:sz="8" w:space="0" w:color="000000"/>
            </w:tcBorders>
            <w:shd w:color="auto" w:fill="4EA72E" w:val="clear"/>
            <w:vAlign w:val="center"/>
          </w:tcPr>
          <w:p>
            <w:pPr>
              <w:pStyle w:val="Normal"/>
              <w:spacing w:lineRule="auto" w:line="240"/>
              <w:jc w:val="center"/>
              <w:rPr>
                <w:b/>
                <w:bCs/>
                <w:color w:val="000000"/>
              </w:rPr>
            </w:pPr>
            <w:r>
              <w:rPr>
                <w:b/>
                <w:bCs/>
              </w:rPr>
              <w:t>Mô tả</w:t>
            </w:r>
          </w:p>
        </w:tc>
        <w:tc>
          <w:tcPr>
            <w:tcW w:w="1417" w:type="dxa"/>
            <w:tcBorders>
              <w:top w:val="single" w:sz="8" w:space="0" w:color="000000"/>
              <w:bottom w:val="single" w:sz="8" w:space="0" w:color="000000"/>
              <w:end w:val="single" w:sz="8" w:space="0" w:color="000000"/>
            </w:tcBorders>
            <w:shd w:color="auto" w:fill="4EA72E" w:val="clear"/>
            <w:vAlign w:val="center"/>
          </w:tcPr>
          <w:p>
            <w:pPr>
              <w:pStyle w:val="Normal"/>
              <w:spacing w:lineRule="auto" w:line="240"/>
              <w:jc w:val="center"/>
              <w:rPr>
                <w:b/>
                <w:bCs/>
                <w:color w:val="000000"/>
              </w:rPr>
            </w:pPr>
            <w:r>
              <w:rPr>
                <w:b/>
                <w:bCs/>
              </w:rPr>
              <w:t>Thời gian phản hồi tối đa</w:t>
            </w:r>
          </w:p>
        </w:tc>
        <w:tc>
          <w:tcPr>
            <w:tcW w:w="1418" w:type="dxa"/>
            <w:tcBorders>
              <w:top w:val="single" w:sz="8" w:space="0" w:color="000000"/>
              <w:bottom w:val="single" w:sz="8" w:space="0" w:color="000000"/>
              <w:end w:val="single" w:sz="8" w:space="0" w:color="000000"/>
            </w:tcBorders>
            <w:shd w:color="auto" w:fill="4EA72E" w:val="clear"/>
            <w:vAlign w:val="center"/>
          </w:tcPr>
          <w:p>
            <w:pPr>
              <w:pStyle w:val="Normal"/>
              <w:spacing w:lineRule="auto" w:line="240"/>
              <w:jc w:val="center"/>
              <w:rPr>
                <w:b/>
                <w:bCs/>
                <w:color w:val="000000"/>
              </w:rPr>
            </w:pPr>
            <w:r>
              <w:rPr>
                <w:b/>
                <w:bCs/>
              </w:rPr>
              <w:t>Thời gian khôi phục tối đa</w:t>
            </w:r>
          </w:p>
        </w:tc>
      </w:tr>
      <w:tr>
        <w:trPr>
          <w:trHeight w:val="1090" w:hRule="atLeast"/>
        </w:trPr>
        <w:tc>
          <w:tcPr>
            <w:tcW w:w="2399" w:type="dxa"/>
            <w:tcBorders>
              <w:start w:val="single" w:sz="8" w:space="0" w:color="000000"/>
              <w:bottom w:val="single" w:sz="8" w:space="0" w:color="000000"/>
              <w:end w:val="single" w:sz="8" w:space="0" w:color="000000"/>
            </w:tcBorders>
            <w:shd w:color="auto" w:fill="auto" w:val="clear"/>
            <w:vAlign w:val="center"/>
          </w:tcPr>
          <w:p>
            <w:pPr>
              <w:pStyle w:val="Normal"/>
              <w:spacing w:lineRule="auto" w:line="240"/>
              <w:rPr>
                <w:color w:val="000000"/>
              </w:rPr>
            </w:pPr>
            <w:r>
              <w:rPr>
                <w:color w:val="000000"/>
              </w:rPr>
              <w:t>Cấp 1 – Sự cố nghiêm trọng</w:t>
            </w:r>
          </w:p>
        </w:tc>
        <w:tc>
          <w:tcPr>
            <w:tcW w:w="3828" w:type="dxa"/>
            <w:tcBorders>
              <w:bottom w:val="single" w:sz="8" w:space="0" w:color="000000"/>
              <w:end w:val="single" w:sz="8" w:space="0" w:color="000000"/>
            </w:tcBorders>
            <w:shd w:color="auto" w:fill="auto" w:val="clear"/>
            <w:vAlign w:val="center"/>
          </w:tcPr>
          <w:p>
            <w:pPr>
              <w:pStyle w:val="Normal"/>
              <w:spacing w:lineRule="auto" w:line="240"/>
              <w:rPr>
                <w:color w:val="000000"/>
              </w:rPr>
            </w:pPr>
            <w:r>
              <w:rPr>
                <w:color w:val="000000"/>
              </w:rPr>
              <w:t>Hệ thống ngừng hoạt động hoàn toàn hoặc gây mất dữ liệu thời gian thi đấu của VĐV.</w:t>
            </w:r>
          </w:p>
        </w:tc>
        <w:tc>
          <w:tcPr>
            <w:tcW w:w="1417" w:type="dxa"/>
            <w:tcBorders>
              <w:bottom w:val="single" w:sz="8" w:space="0" w:color="000000"/>
              <w:end w:val="single" w:sz="8" w:space="0" w:color="000000"/>
            </w:tcBorders>
            <w:shd w:color="auto" w:fill="auto" w:val="clear"/>
            <w:vAlign w:val="center"/>
          </w:tcPr>
          <w:p>
            <w:pPr>
              <w:pStyle w:val="Normal"/>
              <w:spacing w:lineRule="auto" w:line="240"/>
              <w:jc w:val="center"/>
              <w:rPr>
                <w:color w:val="000000"/>
              </w:rPr>
            </w:pPr>
            <w:r>
              <w:rPr>
                <w:color w:val="000000"/>
              </w:rPr>
              <w:t>5 phút</w:t>
            </w:r>
          </w:p>
        </w:tc>
        <w:tc>
          <w:tcPr>
            <w:tcW w:w="1418" w:type="dxa"/>
            <w:tcBorders>
              <w:bottom w:val="single" w:sz="8" w:space="0" w:color="000000"/>
              <w:end w:val="single" w:sz="8" w:space="0" w:color="000000"/>
            </w:tcBorders>
            <w:shd w:color="auto" w:fill="auto" w:val="clear"/>
            <w:vAlign w:val="center"/>
          </w:tcPr>
          <w:p>
            <w:pPr>
              <w:pStyle w:val="Normal"/>
              <w:spacing w:lineRule="auto" w:line="240"/>
              <w:jc w:val="center"/>
              <w:rPr>
                <w:color w:val="000000"/>
              </w:rPr>
            </w:pPr>
            <w:r>
              <w:rPr>
                <w:color w:val="000000"/>
              </w:rPr>
              <w:t>30 phút</w:t>
            </w:r>
          </w:p>
        </w:tc>
      </w:tr>
      <w:tr>
        <w:trPr>
          <w:trHeight w:val="1090" w:hRule="atLeast"/>
        </w:trPr>
        <w:tc>
          <w:tcPr>
            <w:tcW w:w="2399" w:type="dxa"/>
            <w:tcBorders>
              <w:start w:val="single" w:sz="8" w:space="0" w:color="000000"/>
              <w:bottom w:val="single" w:sz="8" w:space="0" w:color="000000"/>
              <w:end w:val="single" w:sz="8" w:space="0" w:color="000000"/>
            </w:tcBorders>
            <w:shd w:color="auto" w:fill="auto" w:val="clear"/>
            <w:vAlign w:val="center"/>
          </w:tcPr>
          <w:p>
            <w:pPr>
              <w:pStyle w:val="Normal"/>
              <w:spacing w:lineRule="auto" w:line="240"/>
              <w:rPr>
                <w:color w:val="000000"/>
              </w:rPr>
            </w:pPr>
            <w:r>
              <w:rPr>
                <w:color w:val="000000"/>
              </w:rPr>
              <w:t>Cấp 2 – Sự cố trung bình</w:t>
            </w:r>
          </w:p>
        </w:tc>
        <w:tc>
          <w:tcPr>
            <w:tcW w:w="3828" w:type="dxa"/>
            <w:tcBorders>
              <w:bottom w:val="single" w:sz="8" w:space="0" w:color="000000"/>
              <w:end w:val="single" w:sz="8" w:space="0" w:color="000000"/>
            </w:tcBorders>
            <w:shd w:color="auto" w:fill="auto" w:val="clear"/>
            <w:vAlign w:val="center"/>
          </w:tcPr>
          <w:p>
            <w:pPr>
              <w:pStyle w:val="Normal"/>
              <w:spacing w:lineRule="auto" w:line="240"/>
              <w:rPr>
                <w:color w:val="000000"/>
              </w:rPr>
            </w:pPr>
            <w:r>
              <w:rPr>
                <w:color w:val="000000"/>
              </w:rPr>
              <w:t>Hệ thống chậm, sai lệch kết quả của một nhóm nhỏ VĐV, một điểm checkpoint không hoạt động.</w:t>
            </w:r>
          </w:p>
        </w:tc>
        <w:tc>
          <w:tcPr>
            <w:tcW w:w="1417" w:type="dxa"/>
            <w:tcBorders>
              <w:bottom w:val="single" w:sz="8" w:space="0" w:color="000000"/>
              <w:end w:val="single" w:sz="8" w:space="0" w:color="000000"/>
            </w:tcBorders>
            <w:shd w:color="auto" w:fill="auto" w:val="clear"/>
            <w:vAlign w:val="center"/>
          </w:tcPr>
          <w:p>
            <w:pPr>
              <w:pStyle w:val="Normal"/>
              <w:spacing w:lineRule="auto" w:line="240"/>
              <w:jc w:val="center"/>
              <w:rPr>
                <w:color w:val="000000"/>
              </w:rPr>
            </w:pPr>
            <w:r>
              <w:rPr>
                <w:color w:val="000000"/>
              </w:rPr>
              <w:t>15 phút</w:t>
            </w:r>
          </w:p>
        </w:tc>
        <w:tc>
          <w:tcPr>
            <w:tcW w:w="1418" w:type="dxa"/>
            <w:tcBorders>
              <w:bottom w:val="single" w:sz="8" w:space="0" w:color="000000"/>
              <w:end w:val="single" w:sz="8" w:space="0" w:color="000000"/>
            </w:tcBorders>
            <w:shd w:color="auto" w:fill="auto" w:val="clear"/>
            <w:vAlign w:val="center"/>
          </w:tcPr>
          <w:p>
            <w:pPr>
              <w:pStyle w:val="Normal"/>
              <w:spacing w:lineRule="auto" w:line="240"/>
              <w:jc w:val="center"/>
              <w:rPr>
                <w:color w:val="000000"/>
              </w:rPr>
            </w:pPr>
            <w:r>
              <w:rPr>
                <w:color w:val="000000"/>
              </w:rPr>
              <w:t>60 phút</w:t>
            </w:r>
          </w:p>
        </w:tc>
      </w:tr>
      <w:tr>
        <w:trPr>
          <w:trHeight w:val="1090" w:hRule="atLeast"/>
        </w:trPr>
        <w:tc>
          <w:tcPr>
            <w:tcW w:w="2399" w:type="dxa"/>
            <w:tcBorders>
              <w:start w:val="single" w:sz="8" w:space="0" w:color="000000"/>
              <w:bottom w:val="single" w:sz="8" w:space="0" w:color="000000"/>
              <w:end w:val="single" w:sz="8" w:space="0" w:color="000000"/>
            </w:tcBorders>
            <w:shd w:color="auto" w:fill="auto" w:val="clear"/>
            <w:vAlign w:val="center"/>
          </w:tcPr>
          <w:p>
            <w:pPr>
              <w:pStyle w:val="Normal"/>
              <w:spacing w:lineRule="auto" w:line="240"/>
              <w:rPr>
                <w:color w:val="000000"/>
              </w:rPr>
            </w:pPr>
            <w:r>
              <w:rPr>
                <w:color w:val="000000"/>
              </w:rPr>
              <w:t>Cấp 3 – Sự cố nhẹ</w:t>
            </w:r>
          </w:p>
        </w:tc>
        <w:tc>
          <w:tcPr>
            <w:tcW w:w="3828" w:type="dxa"/>
            <w:tcBorders>
              <w:bottom w:val="single" w:sz="8" w:space="0" w:color="000000"/>
              <w:end w:val="single" w:sz="8" w:space="0" w:color="000000"/>
            </w:tcBorders>
            <w:shd w:color="auto" w:fill="auto" w:val="clear"/>
            <w:vAlign w:val="center"/>
          </w:tcPr>
          <w:p>
            <w:pPr>
              <w:pStyle w:val="Normal"/>
              <w:spacing w:lineRule="auto" w:line="240"/>
              <w:rPr>
                <w:color w:val="000000"/>
              </w:rPr>
            </w:pPr>
            <w:r>
              <w:rPr>
                <w:color w:val="000000"/>
              </w:rPr>
              <w:t>Lỗi hiển thị kết quả tạm thời, lỗi không ảnh hưởng đến đo đích hoặc chip cá nhân.</w:t>
            </w:r>
          </w:p>
        </w:tc>
        <w:tc>
          <w:tcPr>
            <w:tcW w:w="1417" w:type="dxa"/>
            <w:tcBorders>
              <w:bottom w:val="single" w:sz="8" w:space="0" w:color="000000"/>
              <w:end w:val="single" w:sz="8" w:space="0" w:color="000000"/>
            </w:tcBorders>
            <w:shd w:color="auto" w:fill="auto" w:val="clear"/>
            <w:vAlign w:val="center"/>
          </w:tcPr>
          <w:p>
            <w:pPr>
              <w:pStyle w:val="Normal"/>
              <w:spacing w:lineRule="auto" w:line="240"/>
              <w:jc w:val="center"/>
              <w:rPr>
                <w:color w:val="000000"/>
              </w:rPr>
            </w:pPr>
            <w:r>
              <w:rPr>
                <w:color w:val="000000"/>
              </w:rPr>
              <w:t>30 phút</w:t>
            </w:r>
          </w:p>
        </w:tc>
        <w:tc>
          <w:tcPr>
            <w:tcW w:w="1418" w:type="dxa"/>
            <w:tcBorders>
              <w:bottom w:val="single" w:sz="8" w:space="0" w:color="000000"/>
              <w:end w:val="single" w:sz="8" w:space="0" w:color="000000"/>
            </w:tcBorders>
            <w:shd w:color="auto" w:fill="auto" w:val="clear"/>
            <w:vAlign w:val="center"/>
          </w:tcPr>
          <w:p>
            <w:pPr>
              <w:pStyle w:val="Normal"/>
              <w:spacing w:lineRule="auto" w:line="240"/>
              <w:jc w:val="center"/>
              <w:rPr>
                <w:color w:val="000000"/>
              </w:rPr>
            </w:pPr>
            <w:r>
              <w:rPr>
                <w:color w:val="000000"/>
              </w:rPr>
              <w:t>120 phút</w:t>
            </w:r>
          </w:p>
        </w:tc>
      </w:tr>
    </w:tbl>
    <w:p>
      <w:pPr>
        <w:pStyle w:val="Normal"/>
        <w:rPr/>
      </w:pPr>
      <w:r>
        <w:rPr/>
        <w:br/>
        <w:t>c. Trường hợp không khắc phục được trong thời gian nêu trên, Bên B phải chủ động kích hoạt hệ thống dự phòng (backup system) để đảm bảo hoạt động không gián đoạn.</w:t>
      </w:r>
    </w:p>
    <w:p>
      <w:pPr>
        <w:pStyle w:val="Heading2"/>
        <w:numPr>
          <w:ilvl w:val="0"/>
          <w:numId w:val="11"/>
        </w:numPr>
        <w:ind w:hanging="360" w:start="360" w:end="520"/>
        <w:rPr>
          <w:rFonts w:ascii="Times New Roman" w:hAnsi="Times New Roman" w:eastAsia="Times New Roman" w:cs="Times New Roman"/>
        </w:rPr>
      </w:pPr>
      <w:r>
        <w:rPr>
          <w:rFonts w:eastAsia="Times New Roman" w:cs="Times New Roman" w:ascii="Times New Roman" w:hAnsi="Times New Roman"/>
        </w:rPr>
        <w:t>Kênh tiếp nhận và giám sát</w:t>
      </w:r>
    </w:p>
    <w:p>
      <w:pPr>
        <w:pStyle w:val="Normal"/>
        <w:rPr/>
      </w:pPr>
      <w:r>
        <w:rPr/>
        <w:t>- Bên B phải cung cấp tối thiểu 01 đầu mối kỹ thuật có mặt tại hiện trường và 01 đầu mối từ xa (qua điện thoại hoặc nền tảng nhắn tin trực tuyến) để tiếp nhận và xử lý sự cố 24/24 trong ngày diễn ra giải chạy.</w:t>
        <w:br/>
        <w:t>- Bên A có quyền giám sát trực tiếp hệ thống thông qua phần mềm dashboard, log dữ liệu thời gian thực hoặc các công cụ kiểm tra kết quả.</w:t>
      </w:r>
    </w:p>
    <w:p>
      <w:pPr>
        <w:pStyle w:val="Heading2"/>
        <w:numPr>
          <w:ilvl w:val="0"/>
          <w:numId w:val="11"/>
        </w:numPr>
        <w:ind w:hanging="360" w:start="360" w:end="520"/>
        <w:rPr>
          <w:rFonts w:ascii="Times New Roman" w:hAnsi="Times New Roman" w:eastAsia="Times New Roman" w:cs="Times New Roman"/>
        </w:rPr>
      </w:pPr>
      <w:r>
        <w:rPr>
          <w:rFonts w:eastAsia="Times New Roman" w:cs="Times New Roman" w:ascii="Times New Roman" w:hAnsi="Times New Roman"/>
        </w:rPr>
        <w:t>Xử lý vi phạm SLA</w:t>
      </w:r>
    </w:p>
    <w:p>
      <w:pPr>
        <w:pStyle w:val="Normal"/>
        <w:rPr/>
      </w:pPr>
      <w:r>
        <w:rPr/>
        <w:t>Trường hợp Bên B vi phạm cam kết SLA và gây ảnh hưởng đến kết quả sự kiện hoặc khiếu kiện từ vận động viên, Bên A có quyền:</w:t>
        <w:br/>
        <w:br/>
        <w:t>a. Khấu trừ 5% – 20% giá trị hợp đồng tùy theo mức độ thiệt hại (cụ thể do hai bên thỏa thuận trước);</w:t>
        <w:br/>
        <w:br/>
        <w:t>b. Yêu cầu Bên B công khai xin lỗi, phối hợp xử lý hậu quả;</w:t>
        <w:br/>
        <w:br/>
        <w:t>c. Đưa vào danh sách hạn chế hợp tác trong các sự kiện tương lai của Bên A.</w:t>
      </w:r>
    </w:p>
    <w:p>
      <w:pPr>
        <w:pStyle w:val="Normal"/>
        <w:rPr/>
      </w:pPr>
      <w:r>
        <w:rPr/>
      </w:r>
    </w:p>
    <w:tbl>
      <w:tblPr>
        <w:tblStyle w:val="a7"/>
        <w:tblW w:w="9842" w:type="dxa"/>
        <w:jc w:val="start"/>
        <w:tblInd w:w="0" w:type="dxa"/>
        <w:tblLayout w:type="fixed"/>
        <w:tblCellMar>
          <w:top w:w="100" w:type="dxa"/>
          <w:start w:w="100" w:type="dxa"/>
          <w:bottom w:w="100" w:type="dxa"/>
          <w:end w:w="100" w:type="dxa"/>
        </w:tblCellMar>
        <w:tblLook w:noHBand="1" w:lastColumn="0" w:firstColumn="0" w:lastRow="0" w:firstRow="0" w:noVBand="1" w:val="0600"/>
      </w:tblPr>
      <w:tblGrid>
        <w:gridCol w:w="4921"/>
        <w:gridCol w:w="4921"/>
      </w:tblGrid>
      <w:tr>
        <w:trPr>
          <w:trHeight w:val="738" w:hRule="atLeast"/>
        </w:trPr>
        <w:tc>
          <w:tcPr>
            <w:tcW w:w="4921" w:type="dxa"/>
            <w:tcBorders/>
            <w:shd w:color="auto" w:fill="auto" w:val="clear"/>
          </w:tcPr>
          <w:p>
            <w:pPr>
              <w:pStyle w:val="Normal"/>
              <w:spacing w:before="120" w:after="120"/>
              <w:jc w:val="center"/>
              <w:rPr>
                <w:b/>
                <w:bCs/>
                <w:sz w:val="26"/>
                <w:szCs w:val="26"/>
              </w:rPr>
            </w:pPr>
            <w:r>
              <w:rPr>
                <w:b/>
                <w:bCs/>
                <w:sz w:val="26"/>
                <w:szCs w:val="26"/>
              </w:rPr>
              <w:t xml:space="preserve">     </w:t>
            </w:r>
            <w:r>
              <w:rPr>
                <w:b/>
                <w:bCs/>
                <w:sz w:val="26"/>
                <w:szCs w:val="26"/>
              </w:rPr>
              <w:t>ĐẠI DIỆN BÊN A</w:t>
            </w:r>
          </w:p>
          <w:p>
            <w:pPr>
              <w:pStyle w:val="Normal"/>
              <w:tabs>
                <w:tab w:val="clear" w:pos="720"/>
                <w:tab w:val="center" w:pos="1985" w:leader="none"/>
                <w:tab w:val="center" w:pos="7371" w:leader="none"/>
              </w:tabs>
              <w:spacing w:before="120" w:after="120"/>
              <w:ind w:end="0"/>
              <w:jc w:val="center"/>
              <w:rPr>
                <w:b/>
                <w:bCs/>
                <w:sz w:val="26"/>
                <w:szCs w:val="26"/>
              </w:rPr>
            </w:pPr>
            <w:r>
              <w:rPr>
                <w:b/>
                <w:bCs/>
                <w:sz w:val="26"/>
                <w:szCs w:val="26"/>
              </w:rPr>
              <w:t>TỔNG GIÁM ĐỐC</w:t>
            </w:r>
          </w:p>
          <w:p>
            <w:pPr>
              <w:pStyle w:val="Normal"/>
              <w:spacing w:before="120" w:after="120"/>
              <w:jc w:val="center"/>
              <w:rPr>
                <w:b/>
                <w:bCs/>
                <w:sz w:val="26"/>
                <w:szCs w:val="26"/>
              </w:rPr>
            </w:pPr>
            <w:r>
              <w:rPr>
                <w:b/>
                <w:bCs/>
                <w:sz w:val="26"/>
                <w:szCs w:val="26"/>
              </w:rPr>
            </w:r>
          </w:p>
          <w:p>
            <w:pPr>
              <w:pStyle w:val="Normal"/>
              <w:spacing w:before="120" w:after="120"/>
              <w:jc w:val="center"/>
              <w:rPr>
                <w:b/>
                <w:bCs/>
                <w:sz w:val="26"/>
                <w:szCs w:val="26"/>
              </w:rPr>
            </w:pPr>
            <w:r>
              <w:rPr>
                <w:b/>
                <w:bCs/>
                <w:sz w:val="26"/>
                <w:szCs w:val="26"/>
              </w:rPr>
            </w:r>
          </w:p>
          <w:p>
            <w:pPr>
              <w:pStyle w:val="Normal"/>
              <w:spacing w:before="120" w:after="120"/>
              <w:jc w:val="center"/>
              <w:rPr>
                <w:sz w:val="26"/>
                <w:szCs w:val="26"/>
              </w:rPr>
            </w:pPr>
            <w:r>
              <w:rPr>
                <w:sz w:val="26"/>
                <w:szCs w:val="26"/>
              </w:rPr>
            </w:r>
          </w:p>
        </w:tc>
        <w:tc>
          <w:tcPr>
            <w:tcW w:w="4921" w:type="dxa"/>
            <w:tcBorders/>
            <w:tcMar>
              <w:top w:w="0" w:type="dxa"/>
              <w:start w:w="108" w:type="dxa"/>
              <w:bottom w:w="0" w:type="dxa"/>
              <w:end w:w="108" w:type="dxa"/>
            </w:tcMar>
          </w:tcPr>
          <w:p>
            <w:pPr>
              <w:pStyle w:val="Normal"/>
              <w:spacing w:before="120" w:after="120"/>
              <w:jc w:val="center"/>
              <w:rPr>
                <w:b/>
                <w:bCs/>
                <w:sz w:val="26"/>
                <w:szCs w:val="26"/>
              </w:rPr>
            </w:pPr>
            <w:r>
              <w:rPr>
                <w:b/>
                <w:bCs/>
                <w:sz w:val="26"/>
                <w:szCs w:val="26"/>
              </w:rPr>
              <w:t>ĐẠI DIỆN BÊN B</w:t>
            </w:r>
          </w:p>
          <w:p>
            <w:pPr>
              <w:pStyle w:val="Normal"/>
              <w:spacing w:before="120" w:after="120"/>
              <w:jc w:val="center"/>
              <w:rPr>
                <w:b/>
                <w:bCs/>
                <w:i/>
                <w:iCs/>
                <w:sz w:val="26"/>
                <w:szCs w:val="26"/>
              </w:rPr>
            </w:pPr>
            <w:r>
              <w:rPr>
                <w:b/>
                <w:bCs/>
                <w:sz w:val="26"/>
                <w:szCs w:val="26"/>
              </w:rPr>
              <w:t>GIÁM ĐỐC</w:t>
            </w:r>
          </w:p>
        </w:tc>
      </w:tr>
      <w:tr>
        <w:trPr>
          <w:trHeight w:val="738" w:hRule="atLeast"/>
        </w:trPr>
        <w:tc>
          <w:tcPr>
            <w:tcW w:w="4921" w:type="dxa"/>
            <w:tcBorders/>
            <w:shd w:color="auto" w:fill="auto" w:val="clear"/>
          </w:tcPr>
          <w:p>
            <w:pPr>
              <w:pStyle w:val="Normal"/>
              <w:tabs>
                <w:tab w:val="clear" w:pos="720"/>
                <w:tab w:val="left" w:pos="1260" w:leader="none"/>
              </w:tabs>
              <w:jc w:val="center"/>
              <w:rPr>
                <w:b/>
                <w:bCs/>
                <w:sz w:val="26"/>
                <w:szCs w:val="26"/>
              </w:rPr>
            </w:pPr>
            <w:r>
              <w:rPr>
                <w:b/>
                <w:bCs/>
                <w:sz w:val="26"/>
                <w:szCs w:val="26"/>
              </w:rPr>
              <w:t>{client.representative}</w:t>
            </w:r>
          </w:p>
        </w:tc>
        <w:tc>
          <w:tcPr>
            <w:tcW w:w="4921" w:type="dxa"/>
            <w:tcBorders/>
            <w:tcMar>
              <w:top w:w="0" w:type="dxa"/>
              <w:start w:w="108" w:type="dxa"/>
              <w:bottom w:w="0" w:type="dxa"/>
              <w:end w:w="108" w:type="dxa"/>
            </w:tcMar>
          </w:tcPr>
          <w:p>
            <w:pPr>
              <w:pStyle w:val="Normal"/>
              <w:spacing w:before="120" w:after="120"/>
              <w:jc w:val="center"/>
              <w:rPr>
                <w:b/>
                <w:bCs/>
                <w:sz w:val="26"/>
                <w:szCs w:val="26"/>
              </w:rPr>
            </w:pPr>
            <w:r>
              <w:rPr>
                <w:b/>
                <w:bCs/>
                <w:sz w:val="26"/>
                <w:szCs w:val="26"/>
              </w:rPr>
              <w:t>{provider.representative}</w:t>
            </w:r>
          </w:p>
        </w:tc>
      </w:tr>
    </w:tbl>
    <w:p>
      <w:pPr>
        <w:pStyle w:val="Normal"/>
        <w:spacing w:before="120" w:after="0"/>
        <w:ind w:end="-551"/>
        <w:rPr>
          <w:b/>
          <w:bCs/>
          <w:sz w:val="26"/>
          <w:szCs w:val="26"/>
        </w:rPr>
      </w:pPr>
      <w:r>
        <w:rPr>
          <w:b/>
          <w:bCs/>
          <w:sz w:val="26"/>
          <w:szCs w:val="26"/>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134" w:gutter="0" w:header="709" w:top="1134" w:footer="709"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Aptos">
    <w:charset w:val="01" w:characterSet="utf-8"/>
    <w:family w:val="swiss"/>
    <w:pitch w:val="variable"/>
  </w:font>
  <w:font w:name="Times">
    <w:altName w:val="Times New Roman"/>
    <w:charset w:val="01" w:characterSet="utf-8"/>
    <w:family w:val="roman"/>
    <w:pitch w:val="variable"/>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
      <w:lvlJc w:val="start"/>
      <w:pPr>
        <w:tabs>
          <w:tab w:val="num" w:pos="0"/>
        </w:tabs>
        <w:ind w:start="1440" w:hanging="360"/>
      </w:pPr>
      <w:rPr>
        <w:rFonts w:ascii="Noto Sans Symbols" w:hAnsi="Noto Sans Symbols" w:cs="Noto Sans Symbols"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
    <w:lvl w:ilvl="0">
      <w:start w:val="1"/>
      <w:numFmt w:val="decimal"/>
      <w:lvlText w:val="ĐIỀU %1."/>
      <w:lvlJc w:val="start"/>
      <w:pPr>
        <w:tabs>
          <w:tab w:val="num" w:pos="0"/>
        </w:tabs>
        <w:ind w:start="0" w:hanging="0"/>
      </w:pPr>
      <w:rPr/>
    </w:lvl>
    <w:lvl w:ilvl="1">
      <w:start w:val="1"/>
      <w:numFmt w:val="decimal"/>
      <w:lvlText w:val="%1.%2."/>
      <w:lvlJc w:val="start"/>
      <w:pPr>
        <w:tabs>
          <w:tab w:val="num" w:pos="0"/>
        </w:tabs>
        <w:ind w:start="113" w:hanging="0"/>
      </w:pPr>
      <w:rPr>
        <w:b/>
        <w:bCs/>
      </w:rPr>
    </w:lvl>
    <w:lvl w:ilvl="2">
      <w:start w:val="1"/>
      <w:numFmt w:val="decimal"/>
      <w:lvlText w:val="%1.%2.%3."/>
      <w:lvlJc w:val="start"/>
      <w:pPr>
        <w:tabs>
          <w:tab w:val="num" w:pos="0"/>
        </w:tabs>
        <w:ind w:start="226" w:hanging="0"/>
      </w:pPr>
      <w:rPr/>
    </w:lvl>
    <w:lvl w:ilvl="3">
      <w:start w:val="1"/>
      <w:numFmt w:val="decimal"/>
      <w:lvlText w:val="%1.%2.%3.%4."/>
      <w:lvlJc w:val="start"/>
      <w:pPr>
        <w:tabs>
          <w:tab w:val="num" w:pos="0"/>
        </w:tabs>
        <w:ind w:start="339" w:hanging="0"/>
      </w:pPr>
      <w:rPr/>
    </w:lvl>
    <w:lvl w:ilvl="4">
      <w:start w:val="1"/>
      <w:numFmt w:val="decimal"/>
      <w:lvlText w:val="%1.%2.%3.%4.%5."/>
      <w:lvlJc w:val="start"/>
      <w:pPr>
        <w:tabs>
          <w:tab w:val="num" w:pos="0"/>
        </w:tabs>
        <w:ind w:start="452" w:hanging="0"/>
      </w:pPr>
      <w:rPr/>
    </w:lvl>
    <w:lvl w:ilvl="5">
      <w:start w:val="1"/>
      <w:numFmt w:val="decimal"/>
      <w:lvlText w:val="%1.%2.%3.%4.%5.%6."/>
      <w:lvlJc w:val="start"/>
      <w:pPr>
        <w:tabs>
          <w:tab w:val="num" w:pos="0"/>
        </w:tabs>
        <w:ind w:start="565" w:hanging="0"/>
      </w:pPr>
      <w:rPr/>
    </w:lvl>
    <w:lvl w:ilvl="6">
      <w:start w:val="1"/>
      <w:numFmt w:val="decimal"/>
      <w:lvlText w:val="%1.%2.%3.%4.%5.%6.%7."/>
      <w:lvlJc w:val="start"/>
      <w:pPr>
        <w:tabs>
          <w:tab w:val="num" w:pos="0"/>
        </w:tabs>
        <w:ind w:start="678" w:hanging="0"/>
      </w:pPr>
      <w:rPr/>
    </w:lvl>
    <w:lvl w:ilvl="7">
      <w:start w:val="1"/>
      <w:numFmt w:val="decimal"/>
      <w:lvlText w:val="%1.%2.%3.%4.%5.%6.%7.%8."/>
      <w:lvlJc w:val="start"/>
      <w:pPr>
        <w:tabs>
          <w:tab w:val="num" w:pos="0"/>
        </w:tabs>
        <w:ind w:start="791" w:hanging="0"/>
      </w:pPr>
      <w:rPr/>
    </w:lvl>
    <w:lvl w:ilvl="8">
      <w:start w:val="1"/>
      <w:numFmt w:val="decimal"/>
      <w:lvlText w:val="%1.%2.%3.%4.%5.%6.%7.%8.%9."/>
      <w:lvlJc w:val="start"/>
      <w:pPr>
        <w:tabs>
          <w:tab w:val="num" w:pos="0"/>
        </w:tabs>
        <w:ind w:start="904" w:hanging="0"/>
      </w:pPr>
      <w:rPr/>
    </w:lvl>
  </w:abstractNum>
  <w:abstractNum w:abstractNumId="3">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5">
    <w:lvl w:ilvl="0">
      <w:start w:val="1"/>
      <w:numFmt w:val="bullet"/>
      <w:lvlText w:val="o"/>
      <w:lvlJc w:val="start"/>
      <w:pPr>
        <w:tabs>
          <w:tab w:val="num" w:pos="0"/>
        </w:tabs>
        <w:ind w:start="1440" w:hanging="360"/>
      </w:pPr>
      <w:rPr>
        <w:rFonts w:ascii="Courier New" w:hAnsi="Courier New" w:cs="Courier New" w:hint="default"/>
        <w:sz w:val="20"/>
        <w:szCs w:val="20"/>
      </w:rPr>
    </w:lvl>
    <w:lvl w:ilvl="1">
      <w:start w:val="1"/>
      <w:numFmt w:val="bullet"/>
      <w:lvlText w:val="o"/>
      <w:lvlJc w:val="start"/>
      <w:pPr>
        <w:tabs>
          <w:tab w:val="num" w:pos="0"/>
        </w:tabs>
        <w:ind w:start="2160" w:hanging="360"/>
      </w:pPr>
      <w:rPr>
        <w:rFonts w:ascii="Courier New" w:hAnsi="Courier New" w:cs="Courier New" w:hint="default"/>
        <w:sz w:val="20"/>
        <w:szCs w:val="20"/>
      </w:rPr>
    </w:lvl>
    <w:lvl w:ilvl="2">
      <w:start w:val="1"/>
      <w:numFmt w:val="bullet"/>
      <w:lvlText w:val="▪"/>
      <w:lvlJc w:val="start"/>
      <w:pPr>
        <w:tabs>
          <w:tab w:val="num" w:pos="0"/>
        </w:tabs>
        <w:ind w:start="2880" w:hanging="360"/>
      </w:pPr>
      <w:rPr>
        <w:rFonts w:ascii="Noto Sans Symbols" w:hAnsi="Noto Sans Symbols" w:cs="Noto Sans Symbols" w:hint="default"/>
        <w:sz w:val="20"/>
        <w:szCs w:val="20"/>
      </w:rPr>
    </w:lvl>
    <w:lvl w:ilvl="3">
      <w:start w:val="1"/>
      <w:numFmt w:val="bullet"/>
      <w:lvlText w:val="▪"/>
      <w:lvlJc w:val="start"/>
      <w:pPr>
        <w:tabs>
          <w:tab w:val="num" w:pos="0"/>
        </w:tabs>
        <w:ind w:start="3600" w:hanging="360"/>
      </w:pPr>
      <w:rPr>
        <w:rFonts w:ascii="Noto Sans Symbols" w:hAnsi="Noto Sans Symbols" w:cs="Noto Sans Symbols" w:hint="default"/>
        <w:sz w:val="20"/>
        <w:szCs w:val="20"/>
      </w:rPr>
    </w:lvl>
    <w:lvl w:ilvl="4">
      <w:start w:val="1"/>
      <w:numFmt w:val="bullet"/>
      <w:lvlText w:val="▪"/>
      <w:lvlJc w:val="start"/>
      <w:pPr>
        <w:tabs>
          <w:tab w:val="num" w:pos="0"/>
        </w:tabs>
        <w:ind w:start="4320" w:hanging="360"/>
      </w:pPr>
      <w:rPr>
        <w:rFonts w:ascii="Noto Sans Symbols" w:hAnsi="Noto Sans Symbols" w:cs="Noto Sans Symbols" w:hint="default"/>
        <w:sz w:val="20"/>
        <w:szCs w:val="20"/>
      </w:rPr>
    </w:lvl>
    <w:lvl w:ilvl="5">
      <w:start w:val="1"/>
      <w:numFmt w:val="bullet"/>
      <w:lvlText w:val="▪"/>
      <w:lvlJc w:val="start"/>
      <w:pPr>
        <w:tabs>
          <w:tab w:val="num" w:pos="0"/>
        </w:tabs>
        <w:ind w:start="5040" w:hanging="360"/>
      </w:pPr>
      <w:rPr>
        <w:rFonts w:ascii="Noto Sans Symbols" w:hAnsi="Noto Sans Symbols" w:cs="Noto Sans Symbols" w:hint="default"/>
        <w:sz w:val="20"/>
        <w:szCs w:val="20"/>
      </w:rPr>
    </w:lvl>
    <w:lvl w:ilvl="6">
      <w:start w:val="1"/>
      <w:numFmt w:val="bullet"/>
      <w:lvlText w:val="▪"/>
      <w:lvlJc w:val="start"/>
      <w:pPr>
        <w:tabs>
          <w:tab w:val="num" w:pos="0"/>
        </w:tabs>
        <w:ind w:start="5760" w:hanging="360"/>
      </w:pPr>
      <w:rPr>
        <w:rFonts w:ascii="Noto Sans Symbols" w:hAnsi="Noto Sans Symbols" w:cs="Noto Sans Symbols" w:hint="default"/>
        <w:sz w:val="20"/>
        <w:szCs w:val="20"/>
      </w:rPr>
    </w:lvl>
    <w:lvl w:ilvl="7">
      <w:start w:val="1"/>
      <w:numFmt w:val="bullet"/>
      <w:lvlText w:val="▪"/>
      <w:lvlJc w:val="start"/>
      <w:pPr>
        <w:tabs>
          <w:tab w:val="num" w:pos="0"/>
        </w:tabs>
        <w:ind w:start="6480" w:hanging="360"/>
      </w:pPr>
      <w:rPr>
        <w:rFonts w:ascii="Noto Sans Symbols" w:hAnsi="Noto Sans Symbols" w:cs="Noto Sans Symbols" w:hint="default"/>
        <w:sz w:val="20"/>
        <w:szCs w:val="20"/>
      </w:rPr>
    </w:lvl>
    <w:lvl w:ilvl="8">
      <w:start w:val="1"/>
      <w:numFmt w:val="bullet"/>
      <w:lvlText w:val="▪"/>
      <w:lvlJc w:val="start"/>
      <w:pPr>
        <w:tabs>
          <w:tab w:val="num" w:pos="0"/>
        </w:tabs>
        <w:ind w:start="7200" w:hanging="360"/>
      </w:pPr>
      <w:rPr>
        <w:rFonts w:ascii="Noto Sans Symbols" w:hAnsi="Noto Sans Symbols" w:cs="Noto Sans Symbols" w:hint="default"/>
        <w:sz w:val="20"/>
        <w:szCs w:val="20"/>
      </w:rPr>
    </w:lvl>
  </w:abstractNum>
  <w:abstractNum w:abstractNumId="6">
    <w:lvl w:ilvl="0">
      <w:start w:val="1"/>
      <w:numFmt w:val="bullet"/>
      <w:lvlText w:val="o"/>
      <w:lvlJc w:val="start"/>
      <w:pPr>
        <w:tabs>
          <w:tab w:val="num" w:pos="0"/>
        </w:tabs>
        <w:ind w:start="1440" w:hanging="360"/>
      </w:pPr>
      <w:rPr>
        <w:rFonts w:ascii="Courier New" w:hAnsi="Courier New" w:cs="Courier New" w:hint="default"/>
        <w:sz w:val="20"/>
        <w:szCs w:val="20"/>
      </w:rPr>
    </w:lvl>
    <w:lvl w:ilvl="1">
      <w:start w:val="1"/>
      <w:numFmt w:val="bullet"/>
      <w:lvlText w:val="o"/>
      <w:lvlJc w:val="start"/>
      <w:pPr>
        <w:tabs>
          <w:tab w:val="num" w:pos="0"/>
        </w:tabs>
        <w:ind w:start="2160" w:hanging="360"/>
      </w:pPr>
      <w:rPr>
        <w:rFonts w:ascii="Courier New" w:hAnsi="Courier New" w:cs="Courier New" w:hint="default"/>
        <w:sz w:val="20"/>
        <w:szCs w:val="20"/>
      </w:rPr>
    </w:lvl>
    <w:lvl w:ilvl="2">
      <w:start w:val="1"/>
      <w:numFmt w:val="bullet"/>
      <w:lvlText w:val="▪"/>
      <w:lvlJc w:val="start"/>
      <w:pPr>
        <w:tabs>
          <w:tab w:val="num" w:pos="0"/>
        </w:tabs>
        <w:ind w:start="2880" w:hanging="360"/>
      </w:pPr>
      <w:rPr>
        <w:rFonts w:ascii="Noto Sans Symbols" w:hAnsi="Noto Sans Symbols" w:cs="Noto Sans Symbols" w:hint="default"/>
        <w:sz w:val="20"/>
        <w:szCs w:val="20"/>
      </w:rPr>
    </w:lvl>
    <w:lvl w:ilvl="3">
      <w:start w:val="1"/>
      <w:numFmt w:val="bullet"/>
      <w:lvlText w:val="▪"/>
      <w:lvlJc w:val="start"/>
      <w:pPr>
        <w:tabs>
          <w:tab w:val="num" w:pos="0"/>
        </w:tabs>
        <w:ind w:start="3600" w:hanging="360"/>
      </w:pPr>
      <w:rPr>
        <w:rFonts w:ascii="Noto Sans Symbols" w:hAnsi="Noto Sans Symbols" w:cs="Noto Sans Symbols" w:hint="default"/>
        <w:sz w:val="20"/>
        <w:szCs w:val="20"/>
      </w:rPr>
    </w:lvl>
    <w:lvl w:ilvl="4">
      <w:start w:val="1"/>
      <w:numFmt w:val="bullet"/>
      <w:lvlText w:val="▪"/>
      <w:lvlJc w:val="start"/>
      <w:pPr>
        <w:tabs>
          <w:tab w:val="num" w:pos="0"/>
        </w:tabs>
        <w:ind w:start="4320" w:hanging="360"/>
      </w:pPr>
      <w:rPr>
        <w:rFonts w:ascii="Noto Sans Symbols" w:hAnsi="Noto Sans Symbols" w:cs="Noto Sans Symbols" w:hint="default"/>
        <w:sz w:val="20"/>
        <w:szCs w:val="20"/>
      </w:rPr>
    </w:lvl>
    <w:lvl w:ilvl="5">
      <w:start w:val="1"/>
      <w:numFmt w:val="bullet"/>
      <w:lvlText w:val="▪"/>
      <w:lvlJc w:val="start"/>
      <w:pPr>
        <w:tabs>
          <w:tab w:val="num" w:pos="0"/>
        </w:tabs>
        <w:ind w:start="5040" w:hanging="360"/>
      </w:pPr>
      <w:rPr>
        <w:rFonts w:ascii="Noto Sans Symbols" w:hAnsi="Noto Sans Symbols" w:cs="Noto Sans Symbols" w:hint="default"/>
        <w:sz w:val="20"/>
        <w:szCs w:val="20"/>
      </w:rPr>
    </w:lvl>
    <w:lvl w:ilvl="6">
      <w:start w:val="1"/>
      <w:numFmt w:val="bullet"/>
      <w:lvlText w:val="▪"/>
      <w:lvlJc w:val="start"/>
      <w:pPr>
        <w:tabs>
          <w:tab w:val="num" w:pos="0"/>
        </w:tabs>
        <w:ind w:start="5760" w:hanging="360"/>
      </w:pPr>
      <w:rPr>
        <w:rFonts w:ascii="Noto Sans Symbols" w:hAnsi="Noto Sans Symbols" w:cs="Noto Sans Symbols" w:hint="default"/>
        <w:sz w:val="20"/>
        <w:szCs w:val="20"/>
      </w:rPr>
    </w:lvl>
    <w:lvl w:ilvl="7">
      <w:start w:val="1"/>
      <w:numFmt w:val="bullet"/>
      <w:lvlText w:val="▪"/>
      <w:lvlJc w:val="start"/>
      <w:pPr>
        <w:tabs>
          <w:tab w:val="num" w:pos="0"/>
        </w:tabs>
        <w:ind w:start="6480" w:hanging="360"/>
      </w:pPr>
      <w:rPr>
        <w:rFonts w:ascii="Noto Sans Symbols" w:hAnsi="Noto Sans Symbols" w:cs="Noto Sans Symbols" w:hint="default"/>
        <w:sz w:val="20"/>
        <w:szCs w:val="20"/>
      </w:rPr>
    </w:lvl>
    <w:lvl w:ilvl="8">
      <w:start w:val="1"/>
      <w:numFmt w:val="bullet"/>
      <w:lvlText w:val="▪"/>
      <w:lvlJc w:val="start"/>
      <w:pPr>
        <w:tabs>
          <w:tab w:val="num" w:pos="0"/>
        </w:tabs>
        <w:ind w:start="7200" w:hanging="360"/>
      </w:pPr>
      <w:rPr>
        <w:rFonts w:ascii="Noto Sans Symbols" w:hAnsi="Noto Sans Symbols" w:cs="Noto Sans Symbols" w:hint="default"/>
        <w:sz w:val="20"/>
        <w:szCs w:val="20"/>
      </w:rPr>
    </w:lvl>
  </w:abstractNum>
  <w:abstractNum w:abstractNumId="7">
    <w:lvl w:ilvl="0">
      <w:start w:val="1"/>
      <w:numFmt w:val="bullet"/>
      <w:lvlText w:val="●"/>
      <w:lvlJc w:val="start"/>
      <w:pPr>
        <w:tabs>
          <w:tab w:val="num" w:pos="0"/>
        </w:tabs>
        <w:ind w:start="1080" w:hanging="360"/>
      </w:pPr>
      <w:rPr>
        <w:rFonts w:ascii="Noto Sans Symbols" w:hAnsi="Noto Sans Symbols" w:cs="Noto Sans Symbols" w:hint="default"/>
        <w:sz w:val="20"/>
        <w:szCs w:val="20"/>
      </w:rPr>
    </w:lvl>
    <w:lvl w:ilvl="1">
      <w:start w:val="1"/>
      <w:numFmt w:val="bullet"/>
      <w:lvlText w:val="o"/>
      <w:lvlJc w:val="start"/>
      <w:pPr>
        <w:tabs>
          <w:tab w:val="num" w:pos="0"/>
        </w:tabs>
        <w:ind w:start="1800" w:hanging="360"/>
      </w:pPr>
      <w:rPr>
        <w:rFonts w:ascii="Courier New" w:hAnsi="Courier New" w:cs="Courier New" w:hint="default"/>
        <w:sz w:val="20"/>
        <w:szCs w:val="20"/>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8">
    <w:lvl w:ilvl="0">
      <w:start w:val="1"/>
      <w:numFmt w:val="bullet"/>
      <w:lvlText w:val="●"/>
      <w:lvlJc w:val="start"/>
      <w:pPr>
        <w:tabs>
          <w:tab w:val="num" w:pos="0"/>
        </w:tabs>
        <w:ind w:start="1080" w:hanging="360"/>
      </w:pPr>
      <w:rPr>
        <w:rFonts w:ascii="Noto Sans Symbols" w:hAnsi="Noto Sans Symbols" w:cs="Noto Sans Symbols" w:hint="default"/>
        <w:sz w:val="20"/>
        <w:szCs w:val="20"/>
      </w:rPr>
    </w:lvl>
    <w:lvl w:ilvl="1">
      <w:start w:val="1"/>
      <w:numFmt w:val="bullet"/>
      <w:lvlText w:val="o"/>
      <w:lvlJc w:val="start"/>
      <w:pPr>
        <w:tabs>
          <w:tab w:val="num" w:pos="0"/>
        </w:tabs>
        <w:ind w:start="1800" w:hanging="360"/>
      </w:pPr>
      <w:rPr>
        <w:rFonts w:ascii="Courier New" w:hAnsi="Courier New" w:cs="Courier New" w:hint="default"/>
        <w:sz w:val="20"/>
        <w:szCs w:val="20"/>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9">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10">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Noto Sans Symbols" w:hAnsi="Noto Sans Symbols" w:cs="Noto Sans Symbols" w:hint="default"/>
      </w:rPr>
    </w:lvl>
    <w:lvl w:ilvl="3">
      <w:start w:val="1"/>
      <w:numFmt w:val="bullet"/>
      <w:lvlText w:val="●"/>
      <w:lvlJc w:val="start"/>
      <w:pPr>
        <w:tabs>
          <w:tab w:val="num" w:pos="0"/>
        </w:tabs>
        <w:ind w:start="3240" w:hanging="360"/>
      </w:pPr>
      <w:rPr>
        <w:rFonts w:ascii="Noto Sans Symbols" w:hAnsi="Noto Sans Symbols" w:cs="Noto Sans Symbols"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Noto Sans Symbols" w:hAnsi="Noto Sans Symbols" w:cs="Noto Sans Symbols" w:hint="default"/>
      </w:rPr>
    </w:lvl>
    <w:lvl w:ilvl="6">
      <w:start w:val="1"/>
      <w:numFmt w:val="bullet"/>
      <w:lvlText w:val="●"/>
      <w:lvlJc w:val="start"/>
      <w:pPr>
        <w:tabs>
          <w:tab w:val="num" w:pos="0"/>
        </w:tabs>
        <w:ind w:start="5400" w:hanging="360"/>
      </w:pPr>
      <w:rPr>
        <w:rFonts w:ascii="Noto Sans Symbols" w:hAnsi="Noto Sans Symbols" w:cs="Noto Sans Symbols"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Noto Sans Symbols" w:hAnsi="Noto Sans Symbols" w:cs="Noto Sans Symbols" w:hint="default"/>
      </w:rPr>
    </w:lvl>
  </w:abstractNum>
  <w:abstractNum w:abstractNumId="1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7"/>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5"/>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2">
    <w:lvl w:ilvl="0">
      <w:start w:val="1"/>
      <w:numFmt w:val="decimal"/>
      <w:lvlText w:val="6.%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3">
    <w:lvl w:ilvl="0">
      <w:start w:val="1"/>
      <w:numFmt w:val="decimal"/>
      <w:lvlText w:val="7.%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4">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bullet"/>
      <w:lvlText w:val="o"/>
      <w:lvlJc w:val="start"/>
      <w:pPr>
        <w:tabs>
          <w:tab w:val="num" w:pos="0"/>
        </w:tabs>
        <w:ind w:start="1440" w:hanging="360"/>
      </w:pPr>
      <w:rPr>
        <w:rFonts w:ascii="Courier New" w:hAnsi="Courier New" w:cs="Courier New"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Noto Sans Symbols" w:hAnsi="Noto Sans Symbols" w:cs="Noto Sans Symbols" w:hint="default"/>
      </w:rPr>
    </w:lvl>
    <w:lvl w:ilvl="3">
      <w:start w:val="1"/>
      <w:numFmt w:val="bullet"/>
      <w:lvlText w:val="●"/>
      <w:lvlJc w:val="start"/>
      <w:pPr>
        <w:tabs>
          <w:tab w:val="num" w:pos="0"/>
        </w:tabs>
        <w:ind w:start="3960" w:hanging="360"/>
      </w:pPr>
      <w:rPr>
        <w:rFonts w:ascii="Noto Sans Symbols" w:hAnsi="Noto Sans Symbols" w:cs="Noto Sans Symbols"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Noto Sans Symbols" w:hAnsi="Noto Sans Symbols" w:cs="Noto Sans Symbols" w:hint="default"/>
      </w:rPr>
    </w:lvl>
    <w:lvl w:ilvl="6">
      <w:start w:val="1"/>
      <w:numFmt w:val="bullet"/>
      <w:lvlText w:val="●"/>
      <w:lvlJc w:val="start"/>
      <w:pPr>
        <w:tabs>
          <w:tab w:val="num" w:pos="0"/>
        </w:tabs>
        <w:ind w:start="6120" w:hanging="360"/>
      </w:pPr>
      <w:rPr>
        <w:rFonts w:ascii="Noto Sans Symbols" w:hAnsi="Noto Sans Symbols" w:cs="Noto Sans Symbols"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Noto Sans Symbols" w:hAnsi="Noto Sans Symbols" w:cs="Noto Sans Symbols" w:hint="default"/>
      </w:rPr>
    </w:lvl>
  </w:abstractNum>
  <w:abstractNum w:abstractNumId="16">
    <w:lvl w:ilvl="0">
      <w:start w:val="1"/>
      <w:numFmt w:val="decimal"/>
      <w:lvlText w:val="8.%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7">
    <w:lvl w:ilvl="0">
      <w:start w:val="1"/>
      <w:numFmt w:val="decimal"/>
      <w:lvlText w:val="9.%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8">
    <w:lvl w:ilvl="0">
      <w:start w:val="1"/>
      <w:numFmt w:val="decimal"/>
      <w:lvlText w:val="10.%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41"/>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ind w:end="52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unhideWhenUsed/>
    <w:qFormat/>
    <w:pPr>
      <w:keepNext w:val="true"/>
      <w:keepLines/>
      <w:spacing w:before="40" w:after="0"/>
      <w:outlineLvl w:val="1"/>
    </w:pPr>
    <w:rPr>
      <w:rFonts w:ascii="Arial" w:hAnsi="Arial" w:eastAsia="Arial" w:cs="Arial"/>
      <w:b/>
      <w:bCs/>
      <w:color w:val="2F5496"/>
      <w:sz w:val="26"/>
      <w:szCs w:val="2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rPr>
  </w:style>
  <w:style w:type="paragraph" w:styleId="Heading5">
    <w:name w:val="heading 5"/>
    <w:basedOn w:val="Normal"/>
    <w:next w:val="Normal"/>
    <w:uiPriority w:val="9"/>
    <w:semiHidden/>
    <w:unhideWhenUsed/>
    <w:qFormat/>
    <w:pPr>
      <w:keepNext w:val="true"/>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uiPriority w:val="10"/>
    <w:qFormat/>
    <w:pPr>
      <w:keepNext w:val="true"/>
      <w:keepLines/>
      <w:spacing w:before="480" w:after="120"/>
      <w:ind w:end="92"/>
      <w:jc w:val="center"/>
    </w:pPr>
    <w:rPr>
      <w:b/>
      <w:bCs/>
      <w:sz w:val="28"/>
      <w:szCs w:val="28"/>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7EUxNp2PyuWa+Xevj9N2AAoRaQw==">CgMxLjAyDmguaDc1M2RyMzk4dHppMg5oLmFndWw5MmhnMGh1cTIOaC44MnpnZ2xkMWwyY3EyDmguYjY4Zzl1dHF1dGlyMg5oLnB0cWxlampzeGR3ZDIOaC53YjRmN212a21sdmIyDmgudXN6cmh2czB3bHA0Mg5oLnZuN3dhaHA5cjhycTIOaC53bHU0MHhuazQ2NXcyDmgucmVod2xna2FpeXV0Mg5oLmNrdTF5cjdvN2puZjIOaC5neHNpOTZjYjc5aXcyDmgudHpmMW5vMWtnZjMxMg5oLnEzbW9kYmZkOG9xYzINaC5nejl6M3ExNmQ0YTgAciExRWg5X3Vvb1Z4RUx6cUpCTWdnVE9XaDdLeEc5XzN3Z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LibreOffice/26.2.3.2$MacOSX_AARCH64 LibreOffice_project/70e089b17412e4cb7773e41413306b17a2328c34</Application>
  <AppVersion>15.0000</AppVersion>
  <Pages>14</Pages>
  <Words>3710</Words>
  <Characters>21152</Characters>
  <CharactersWithSpaces>24813</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2026-04-15T01:07:00Z</dcterms:created>
  <dc:creator/>
  <dc:description/>
  <dc:language>en-US</dc:language>
  <cp:lastModifiedBy>Danny Nguyen</cp:lastModifiedBy>
  <cp:lastPrinted>2026-04-19T03:20:00Z</cp:lastPrinted>
  <dcterms:modified xsi:type="dcterms:W3CDTF">2026-04-19T03:32:00Z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