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rPr>
          <w:b/>
          <w:bCs/>
        </w:rPr>
      </w:pPr>
      <w:r>
        <w:rPr>
          <w:b/>
          <w:bCs/>
        </w:rPr>
      </w:r>
    </w:p>
    <w:tbl>
      <w:tblPr>
        <w:tblStyle w:val="a"/>
        <w:tblW w:w="9360" w:type="dxa"/>
        <w:jc w:val="start"/>
        <w:tblInd w:w="0" w:type="dxa"/>
        <w:tblLayout w:type="fixed"/>
        <w:tblCellMar>
          <w:top w:w="0" w:type="dxa"/>
          <w:start w:w="108" w:type="dxa"/>
          <w:bottom w:w="0" w:type="dxa"/>
          <w:end w:w="108" w:type="dxa"/>
        </w:tblCellMar>
        <w:tblLook w:noHBand="0" w:lastColumn="0" w:firstColumn="0" w:lastRow="0" w:firstRow="0" w:noVBand="1" w:val="0400"/>
      </w:tblPr>
      <w:tblGrid>
        <w:gridCol w:w="2195"/>
        <w:gridCol w:w="7165"/>
      </w:tblGrid>
      <w:tr>
        <w:trPr/>
        <w:tc>
          <w:tcPr>
            <w:tcW w:w="2195" w:type="dxa"/>
            <w:vMerge w:val="restart"/>
            <w:tcBorders/>
          </w:tcPr>
          <w:p>
            <w:pPr>
              <w:pStyle w:val="Normal"/>
              <w:rPr>
                <w:b/>
                <w:bCs/>
              </w:rPr>
            </w:pPr>
            <w:r>
              <w:rPr/>
              <w:drawing>
                <wp:inline distT="0" distB="0" distL="0" distR="0">
                  <wp:extent cx="1294130" cy="664845"/>
                  <wp:effectExtent l="0" t="0" r="0" b="0"/>
                  <wp:docPr id="1" name="image1.png" descr="C:\Users\ducln_onemount\AppData\Local\Microsoft\Windows\INetCache\Content.Word\logo-5bi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ducln_onemount\AppData\Local\Microsoft\Windows\INetCache\Content.Word\logo-5bib.png"/>
                          <pic:cNvPicPr>
                            <a:picLocks noChangeAspect="1" noChangeArrowheads="1"/>
                          </pic:cNvPicPr>
                        </pic:nvPicPr>
                        <pic:blipFill>
                          <a:blip r:embed="rId2"/>
                          <a:stretch>
                            <a:fillRect/>
                          </a:stretch>
                        </pic:blipFill>
                        <pic:spPr bwMode="auto">
                          <a:xfrm>
                            <a:off x="0" y="0"/>
                            <a:ext cx="1294130" cy="664845"/>
                          </a:xfrm>
                          <a:prstGeom prst="rect">
                            <a:avLst/>
                          </a:prstGeom>
                          <a:noFill/>
                        </pic:spPr>
                      </pic:pic>
                    </a:graphicData>
                  </a:graphic>
                </wp:inline>
              </w:drawing>
            </w:r>
          </w:p>
        </w:tc>
        <w:tc>
          <w:tcPr>
            <w:tcW w:w="7165" w:type="dxa"/>
            <w:tcBorders/>
          </w:tcPr>
          <w:p>
            <w:pPr>
              <w:pStyle w:val="Normal"/>
              <w:rPr>
                <w:b/>
                <w:bCs/>
              </w:rPr>
            </w:pPr>
            <w:r>
              <w:rPr>
                <w:b/>
                <w:bCs/>
              </w:rPr>
              <w:t>{provider.entityName}</w:t>
            </w:r>
          </w:p>
        </w:tc>
      </w:tr>
      <w:tr>
        <w:trPr/>
        <w:tc>
          <w:tcPr>
            <w:tcW w:w="2195" w:type="dxa"/>
            <w:vMerge w:val="continue"/>
            <w:tcBorders/>
          </w:tcPr>
          <w:p>
            <w:pPr>
              <w:pStyle w:val="Normal"/>
              <w:widowControl w:val="false"/>
              <w:spacing w:lineRule="auto" w:line="276"/>
              <w:rPr>
                <w:b/>
                <w:bCs/>
              </w:rPr>
            </w:pPr>
            <w:r>
              <w:rPr>
                <w:b/>
                <w:bCs/>
              </w:rPr>
            </w:r>
          </w:p>
        </w:tc>
        <w:tc>
          <w:tcPr>
            <w:tcW w:w="7165" w:type="dxa"/>
            <w:tcBorders/>
          </w:tcPr>
          <w:p>
            <w:pPr>
              <w:pStyle w:val="Normal"/>
              <w:rPr>
                <w:b/>
                <w:bCs/>
              </w:rPr>
            </w:pPr>
            <w:r>
              <w:rPr/>
              <w:t>MST: {provider.taxId}</w:t>
            </w:r>
          </w:p>
        </w:tc>
      </w:tr>
      <w:tr>
        <w:trPr/>
        <w:tc>
          <w:tcPr>
            <w:tcW w:w="2195" w:type="dxa"/>
            <w:vMerge w:val="continue"/>
            <w:tcBorders/>
          </w:tcPr>
          <w:p>
            <w:pPr>
              <w:pStyle w:val="Normal"/>
              <w:widowControl w:val="false"/>
              <w:spacing w:lineRule="auto" w:line="276"/>
              <w:rPr>
                <w:b/>
                <w:bCs/>
              </w:rPr>
            </w:pPr>
            <w:r>
              <w:rPr>
                <w:b/>
                <w:bCs/>
              </w:rPr>
            </w:r>
          </w:p>
        </w:tc>
        <w:tc>
          <w:tcPr>
            <w:tcW w:w="7165" w:type="dxa"/>
            <w:tcBorders/>
          </w:tcPr>
          <w:p>
            <w:pPr>
              <w:pStyle w:val="Normal"/>
              <w:rPr>
                <w:b/>
                <w:bCs/>
              </w:rPr>
            </w:pPr>
            <w:r>
              <w:rPr/>
              <w:t>{provider.address}</w:t>
            </w:r>
          </w:p>
        </w:tc>
      </w:tr>
    </w:tbl>
    <w:p>
      <w:pPr>
        <w:pStyle w:val="Normal"/>
        <w:spacing w:lineRule="auto" w:line="259" w:before="0" w:after="160"/>
        <w:rPr>
          <w:b/>
          <w:bCs/>
        </w:rPr>
      </w:pPr>
      <w:r>
        <w:rPr>
          <w:b/>
          <w:bCs/>
        </w:rPr>
      </w:r>
    </w:p>
    <w:p>
      <w:pPr>
        <w:pStyle w:val="Normal"/>
        <w:spacing w:lineRule="auto" w:line="259" w:before="0" w:after="160"/>
        <w:rPr>
          <w:rFonts w:ascii="Aptos" w:hAnsi="Aptos" w:eastAsia="Aptos" w:cs="Aptos"/>
          <w:sz w:val="22"/>
          <w:szCs w:val="22"/>
        </w:rPr>
      </w:pPr>
      <w:r>
        <w:rPr>
          <w:rFonts w:eastAsia="Aptos" w:cs="Aptos" w:ascii="Aptos" w:hAnsi="Aptos"/>
          <w:sz w:val="22"/>
          <w:szCs w:val="22"/>
        </w:rPr>
      </w:r>
    </w:p>
    <w:p>
      <w:pPr>
        <w:pStyle w:val="Normal"/>
        <w:spacing w:lineRule="auto" w:line="259" w:before="0" w:after="160"/>
        <w:rPr>
          <w:b/>
          <w:bCs/>
        </w:rPr>
      </w:pPr>
      <w:r>
        <w:rPr>
          <w:b/>
          <w:bCs/>
        </w:rPr>
        <w:t xml:space="preserve"> </w:t>
      </w:r>
    </w:p>
    <w:tbl>
      <w:tblPr>
        <w:tblStyle w:val="a0"/>
        <w:tblW w:w="9350" w:type="dxa"/>
        <w:jc w:val="start"/>
        <w:tblInd w:w="0" w:type="dxa"/>
        <w:tblLayout w:type="fixed"/>
        <w:tblCellMar>
          <w:top w:w="0" w:type="dxa"/>
          <w:start w:w="108" w:type="dxa"/>
          <w:bottom w:w="0" w:type="dxa"/>
          <w:end w:w="108" w:type="dxa"/>
        </w:tblCellMar>
        <w:tblLook w:noHBand="0" w:lastColumn="0" w:firstColumn="0" w:lastRow="0" w:firstRow="0" w:noVBand="1" w:val="0400"/>
      </w:tblPr>
      <w:tblGrid>
        <w:gridCol w:w="9350"/>
      </w:tblGrid>
      <w:tr>
        <w:trPr>
          <w:trHeight w:val="1637" w:hRule="atLeast"/>
        </w:trPr>
        <w:tc>
          <w:tcPr>
            <w:tcW w:w="9350" w:type="dxa"/>
            <w:tcBorders/>
          </w:tcPr>
          <w:p>
            <w:pPr>
              <w:pStyle w:val="Normal"/>
              <w:rPr>
                <w:b/>
                <w:bCs/>
              </w:rPr>
            </w:pPr>
            <w:r>
              <w:rPr>
                <w:b/>
                <w:bCs/>
              </w:rPr>
            </w:r>
          </w:p>
        </w:tc>
      </w:tr>
      <w:tr>
        <w:trPr>
          <w:trHeight w:val="3636" w:hRule="atLeast"/>
        </w:trPr>
        <w:tc>
          <w:tcPr>
            <w:tcW w:w="9350" w:type="dxa"/>
            <w:tcBorders/>
          </w:tcPr>
          <w:p>
            <w:pPr>
              <w:pStyle w:val="Normal"/>
              <w:jc w:val="center"/>
              <w:rPr>
                <w:b/>
                <w:bCs/>
                <w:color w:val="0000FF"/>
                <w:sz w:val="56"/>
                <w:szCs w:val="56"/>
              </w:rPr>
            </w:pPr>
            <w:bookmarkStart w:id="0" w:name="_heading=h.h753dr398tzi"/>
            <w:bookmarkEnd w:id="0"/>
            <w:r>
              <w:rPr>
                <w:b/>
                <w:bCs/>
                <w:color w:val="0000FF"/>
                <w:sz w:val="56"/>
                <w:szCs w:val="56"/>
              </w:rPr>
              <w:t>HỢP ĐỒNG</w:t>
            </w:r>
          </w:p>
          <w:p>
            <w:pPr>
              <w:pStyle w:val="Normal"/>
              <w:jc w:val="center"/>
              <w:rPr>
                <w:b/>
                <w:bCs/>
                <w:color w:val="0000FF"/>
                <w:sz w:val="56"/>
                <w:szCs w:val="56"/>
              </w:rPr>
            </w:pPr>
            <w:r>
              <w:rPr>
                <w:b/>
                <w:bCs/>
                <w:color w:val="0000FF"/>
                <w:sz w:val="56"/>
                <w:szCs w:val="56"/>
              </w:rPr>
              <w:t xml:space="preserve">CUNG CẤP DỊCH VỤ </w:t>
            </w:r>
          </w:p>
          <w:p>
            <w:pPr>
              <w:pStyle w:val="Normal"/>
              <w:jc w:val="center"/>
              <w:rPr>
                <w:b/>
                <w:bCs/>
                <w:color w:val="0000FF"/>
                <w:sz w:val="86"/>
                <w:szCs w:val="86"/>
              </w:rPr>
            </w:pPr>
            <w:r>
              <w:rPr>
                <w:b/>
                <w:bCs/>
                <w:color w:val="0000FF"/>
                <w:sz w:val="56"/>
                <w:szCs w:val="56"/>
              </w:rPr>
              <w:t>VẬN HÀNH RACEKIT</w:t>
            </w:r>
          </w:p>
        </w:tc>
      </w:tr>
      <w:tr>
        <w:trPr>
          <w:trHeight w:val="539" w:hRule="atLeast"/>
        </w:trPr>
        <w:tc>
          <w:tcPr>
            <w:tcW w:w="9350" w:type="dxa"/>
            <w:tcBorders/>
            <w:vAlign w:val="center"/>
          </w:tcPr>
          <w:p>
            <w:pPr>
              <w:pStyle w:val="Normal"/>
              <w:jc w:val="center"/>
              <w:rPr>
                <w:sz w:val="32"/>
                <w:szCs w:val="32"/>
              </w:rPr>
            </w:pPr>
            <w:r>
              <w:rPr>
                <w:sz w:val="32"/>
                <w:szCs w:val="32"/>
              </w:rPr>
              <w:t>Dự án/Giải chạy: {raceName}</w:t>
            </w:r>
          </w:p>
        </w:tc>
      </w:tr>
      <w:tr>
        <w:trPr>
          <w:trHeight w:val="539" w:hRule="atLeast"/>
        </w:trPr>
        <w:tc>
          <w:tcPr>
            <w:tcW w:w="9350" w:type="dxa"/>
            <w:tcBorders/>
            <w:vAlign w:val="center"/>
          </w:tcPr>
          <w:p>
            <w:pPr>
              <w:pStyle w:val="Normal"/>
              <w:jc w:val="center"/>
              <w:rPr>
                <w:sz w:val="32"/>
                <w:szCs w:val="32"/>
              </w:rPr>
            </w:pPr>
            <w:r>
              <w:rPr>
                <w:sz w:val="32"/>
                <w:szCs w:val="32"/>
              </w:rPr>
              <w:t>Đối tác: {client.entityName}</w:t>
            </w:r>
          </w:p>
        </w:tc>
      </w:tr>
      <w:tr>
        <w:trPr>
          <w:trHeight w:val="3087" w:hRule="atLeast"/>
        </w:trPr>
        <w:tc>
          <w:tcPr>
            <w:tcW w:w="9350" w:type="dxa"/>
            <w:tcBorders/>
            <w:vAlign w:val="center"/>
          </w:tcPr>
          <w:p>
            <w:pPr>
              <w:pStyle w:val="Normal"/>
              <w:jc w:val="center"/>
              <w:rPr>
                <w:sz w:val="28"/>
                <w:szCs w:val="28"/>
              </w:rPr>
            </w:pPr>
            <w:r>
              <w:rPr>
                <w:sz w:val="28"/>
                <w:szCs w:val="28"/>
              </w:rPr>
              <w:t>Năm {signYear}</w:t>
            </w:r>
          </w:p>
          <w:p>
            <w:pPr>
              <w:pStyle w:val="Normal"/>
              <w:jc w:val="center"/>
              <w:rPr>
                <w:b/>
                <w:bCs/>
              </w:rPr>
            </w:pPr>
            <w:r>
              <w:rPr/>
              <w:t>---------------------------- oOo ----------------------------</w:t>
            </w:r>
          </w:p>
        </w:tc>
      </w:tr>
    </w:tbl>
    <w:p>
      <w:pPr>
        <w:pStyle w:val="Normal"/>
        <w:tabs>
          <w:tab w:val="clear" w:pos="720"/>
          <w:tab w:val="left" w:pos="1260" w:leader="none"/>
        </w:tabs>
        <w:spacing w:before="60" w:after="60"/>
        <w:jc w:val="center"/>
        <w:rPr>
          <w:b/>
          <w:bCs/>
          <w:sz w:val="26"/>
          <w:szCs w:val="26"/>
        </w:rPr>
      </w:pPr>
      <w:r>
        <w:rPr>
          <w:b/>
          <w:bCs/>
          <w:sz w:val="26"/>
          <w:szCs w:val="26"/>
        </w:rPr>
      </w:r>
      <w:r>
        <w:br w:type="page"/>
      </w:r>
    </w:p>
    <w:p>
      <w:pPr>
        <w:pStyle w:val="Normal"/>
        <w:tabs>
          <w:tab w:val="clear" w:pos="720"/>
          <w:tab w:val="left" w:pos="1260" w:leader="none"/>
        </w:tabs>
        <w:spacing w:before="0" w:after="60"/>
        <w:jc w:val="center"/>
        <w:rPr>
          <w:b/>
          <w:bCs/>
          <w:sz w:val="26"/>
          <w:szCs w:val="26"/>
        </w:rPr>
      </w:pPr>
      <w:r>
        <w:rPr>
          <w:b/>
          <w:bCs/>
          <w:sz w:val="26"/>
          <w:szCs w:val="26"/>
        </w:rPr>
        <w:t>CỘNG HÒA XÃ HỘI CHỦ NGHĨA VIỆT NAM</w:t>
      </w:r>
    </w:p>
    <w:p>
      <w:pPr>
        <w:pStyle w:val="Normal"/>
        <w:tabs>
          <w:tab w:val="clear" w:pos="720"/>
          <w:tab w:val="left" w:pos="1260" w:leader="none"/>
        </w:tabs>
        <w:spacing w:before="60" w:after="60"/>
        <w:jc w:val="center"/>
        <w:rPr>
          <w:b/>
          <w:bCs/>
          <w:sz w:val="26"/>
          <w:szCs w:val="26"/>
        </w:rPr>
      </w:pPr>
      <w:r>
        <w:rPr>
          <w:b/>
          <w:bCs/>
          <w:sz w:val="26"/>
          <w:szCs w:val="26"/>
        </w:rPr>
        <w:t>Độc lập – Tự do – Hạnh phúc</w:t>
      </w:r>
    </w:p>
    <w:p>
      <w:pPr>
        <w:pStyle w:val="Normal"/>
        <w:tabs>
          <w:tab w:val="clear" w:pos="720"/>
          <w:tab w:val="left" w:pos="1260" w:leader="none"/>
        </w:tabs>
        <w:spacing w:before="60" w:after="60"/>
        <w:jc w:val="center"/>
        <w:rPr>
          <w:sz w:val="26"/>
          <w:szCs w:val="26"/>
        </w:rPr>
      </w:pPr>
      <w:r>
        <w:rPr>
          <w:sz w:val="26"/>
          <w:szCs w:val="26"/>
        </w:rPr>
        <w:t>………</w:t>
      </w:r>
      <w:r>
        <w:rPr>
          <w:sz w:val="26"/>
          <w:szCs w:val="26"/>
        </w:rPr>
        <w:t>..***……….</w:t>
      </w:r>
    </w:p>
    <w:p>
      <w:pPr>
        <w:pStyle w:val="Normal"/>
        <w:tabs>
          <w:tab w:val="clear" w:pos="720"/>
          <w:tab w:val="left" w:pos="1260" w:leader="none"/>
        </w:tabs>
        <w:spacing w:before="60" w:after="60"/>
        <w:jc w:val="center"/>
        <w:rPr>
          <w:sz w:val="26"/>
          <w:szCs w:val="26"/>
        </w:rPr>
      </w:pPr>
      <w:r>
        <w:rPr>
          <w:sz w:val="26"/>
          <w:szCs w:val="26"/>
        </w:rPr>
      </w:r>
    </w:p>
    <w:p>
      <w:pPr>
        <w:pStyle w:val="Normal"/>
        <w:keepNext w:val="true"/>
        <w:keepLines/>
        <w:tabs>
          <w:tab w:val="clear" w:pos="720"/>
          <w:tab w:val="left" w:pos="1260" w:leader="none"/>
        </w:tabs>
        <w:spacing w:lineRule="auto" w:line="288"/>
        <w:jc w:val="end"/>
        <w:rPr>
          <w:i/>
          <w:iCs/>
          <w:sz w:val="26"/>
          <w:szCs w:val="26"/>
        </w:rPr>
      </w:pPr>
      <w:r>
        <w:rPr>
          <w:i/>
          <w:iCs/>
          <w:sz w:val="26"/>
          <w:szCs w:val="26"/>
        </w:rPr>
        <w:t>Hà Nội, ngày {signDay} tháng {signMonth} năm {signYear}</w:t>
      </w:r>
    </w:p>
    <w:p>
      <w:pPr>
        <w:pStyle w:val="Normal"/>
        <w:tabs>
          <w:tab w:val="clear" w:pos="720"/>
          <w:tab w:val="left" w:pos="1260" w:leader="none"/>
        </w:tabs>
        <w:spacing w:before="60" w:after="60"/>
        <w:jc w:val="center"/>
        <w:rPr>
          <w:b/>
          <w:bCs/>
          <w:sz w:val="26"/>
          <w:szCs w:val="26"/>
        </w:rPr>
      </w:pPr>
      <w:r>
        <w:rPr>
          <w:b/>
          <w:bCs/>
          <w:sz w:val="26"/>
          <w:szCs w:val="26"/>
        </w:rPr>
        <w:t>HỢP ĐỒNG DỊCH VỤ</w:t>
      </w:r>
    </w:p>
    <w:p>
      <w:pPr>
        <w:pStyle w:val="Normal"/>
        <w:tabs>
          <w:tab w:val="clear" w:pos="720"/>
          <w:tab w:val="left" w:pos="1260" w:leader="none"/>
        </w:tabs>
        <w:spacing w:before="60" w:after="60"/>
        <w:jc w:val="center"/>
        <w:rPr>
          <w:b/>
          <w:bCs/>
          <w:sz w:val="26"/>
          <w:szCs w:val="26"/>
        </w:rPr>
      </w:pPr>
      <w:r>
        <w:rPr>
          <w:b/>
          <w:bCs/>
          <w:sz w:val="26"/>
          <w:szCs w:val="26"/>
        </w:rPr>
        <w:t>Số: {contractNumber}</w:t>
      </w:r>
    </w:p>
    <w:p>
      <w:pPr>
        <w:pStyle w:val="Normal"/>
        <w:tabs>
          <w:tab w:val="clear" w:pos="720"/>
          <w:tab w:val="left" w:pos="1260" w:leader="none"/>
        </w:tabs>
        <w:spacing w:before="60" w:after="60"/>
        <w:jc w:val="center"/>
        <w:rPr>
          <w:b/>
          <w:bCs/>
          <w:sz w:val="26"/>
          <w:szCs w:val="26"/>
        </w:rPr>
      </w:pPr>
      <w:r>
        <w:rPr>
          <w:b/>
          <w:bCs/>
          <w:i/>
          <w:iCs/>
          <w:sz w:val="26"/>
          <w:szCs w:val="26"/>
        </w:rPr>
        <w:t>V/v: Cung cấp Dịch vụ vận hành Racekit</w:t>
      </w:r>
    </w:p>
    <w:p>
      <w:pPr>
        <w:pStyle w:val="Normal"/>
        <w:jc w:val="both"/>
        <w:rPr>
          <w:b/>
          <w:bCs/>
          <w:sz w:val="26"/>
          <w:szCs w:val="26"/>
        </w:rPr>
      </w:pPr>
      <w:r>
        <w:rPr>
          <w:b/>
          <w:bCs/>
          <w:sz w:val="26"/>
          <w:szCs w:val="26"/>
        </w:rPr>
      </w:r>
    </w:p>
    <w:p>
      <w:pPr>
        <w:pStyle w:val="Normal"/>
        <w:jc w:val="both"/>
        <w:rPr>
          <w:b/>
          <w:bCs/>
          <w:sz w:val="26"/>
          <w:szCs w:val="26"/>
        </w:rPr>
      </w:pPr>
      <w:r>
        <w:rPr>
          <w:b/>
          <w:bCs/>
          <w:sz w:val="26"/>
          <w:szCs w:val="26"/>
        </w:rPr>
        <w:t>Căn cứ pháp luật</w:t>
      </w:r>
    </w:p>
    <w:p>
      <w:pPr>
        <w:pStyle w:val="Normal"/>
        <w:jc w:val="both"/>
        <w:rPr>
          <w:b/>
          <w:bCs/>
          <w:sz w:val="26"/>
          <w:szCs w:val="26"/>
        </w:rPr>
      </w:pPr>
      <w:r>
        <w:rPr>
          <w:b/>
          <w:bCs/>
          <w:sz w:val="26"/>
          <w:szCs w:val="26"/>
        </w:rPr>
      </w:r>
    </w:p>
    <w:p>
      <w:pPr>
        <w:pStyle w:val="Normal"/>
        <w:numPr>
          <w:ilvl w:val="0"/>
          <w:numId w:val="1"/>
        </w:numPr>
        <w:spacing w:lineRule="auto" w:line="278" w:before="0" w:after="160"/>
        <w:jc w:val="both"/>
        <w:rPr>
          <w:i/>
          <w:iCs/>
          <w:sz w:val="26"/>
          <w:szCs w:val="26"/>
        </w:rPr>
      </w:pPr>
      <w:r>
        <w:rPr>
          <w:i/>
          <w:iCs/>
          <w:sz w:val="26"/>
          <w:szCs w:val="26"/>
        </w:rPr>
        <w:t>Căn cứ Bộ luật Dân sự số 91/2015/QH13 ngày 24/11/2015 của Quốc hội và các văn bản hướng dẫn thi hành;</w:t>
      </w:r>
    </w:p>
    <w:p>
      <w:pPr>
        <w:pStyle w:val="Normal"/>
        <w:numPr>
          <w:ilvl w:val="0"/>
          <w:numId w:val="1"/>
        </w:numPr>
        <w:spacing w:lineRule="auto" w:line="278" w:before="0" w:after="160"/>
        <w:jc w:val="both"/>
        <w:rPr>
          <w:i/>
          <w:iCs/>
          <w:sz w:val="26"/>
          <w:szCs w:val="26"/>
        </w:rPr>
      </w:pPr>
      <w:r>
        <w:rPr>
          <w:i/>
          <w:iCs/>
          <w:sz w:val="26"/>
          <w:szCs w:val="26"/>
        </w:rPr>
        <w:t>Căn cứ Luật Doanh nghiệp số 59/2020/QH14 ngày 17/6/2020 của Quốc hội và các văn bản hướng dẫn thi hành;</w:t>
      </w:r>
    </w:p>
    <w:p>
      <w:pPr>
        <w:pStyle w:val="Normal"/>
        <w:numPr>
          <w:ilvl w:val="0"/>
          <w:numId w:val="1"/>
        </w:numPr>
        <w:spacing w:lineRule="auto" w:line="278" w:before="0" w:after="160"/>
        <w:jc w:val="both"/>
        <w:rPr>
          <w:i/>
          <w:iCs/>
          <w:sz w:val="26"/>
          <w:szCs w:val="26"/>
        </w:rPr>
      </w:pPr>
      <w:r>
        <w:rPr>
          <w:i/>
          <w:iCs/>
          <w:sz w:val="26"/>
          <w:szCs w:val="26"/>
        </w:rPr>
        <w:t>Căn cứ Luật Thương mại số 36/2005/QH11 ngày 14/6/2005 của Quốc hội và các văn bản hướng dẫn thi hành;</w:t>
      </w:r>
    </w:p>
    <w:p>
      <w:pPr>
        <w:pStyle w:val="Normal"/>
        <w:numPr>
          <w:ilvl w:val="0"/>
          <w:numId w:val="1"/>
        </w:numPr>
        <w:pBdr/>
        <w:spacing w:before="60" w:after="60"/>
        <w:jc w:val="both"/>
        <w:rPr>
          <w:i/>
          <w:iCs/>
          <w:color w:val="000000"/>
          <w:sz w:val="26"/>
          <w:szCs w:val="26"/>
        </w:rPr>
      </w:pPr>
      <w:bookmarkStart w:id="1" w:name="_heading=h.1illd51n8ymu"/>
      <w:bookmarkEnd w:id="1"/>
      <w:r>
        <w:rPr>
          <w:i/>
          <w:iCs/>
          <w:color w:val="000000"/>
          <w:sz w:val="26"/>
          <w:szCs w:val="26"/>
        </w:rPr>
        <w:t>Căn cứ Bộ luật Lao động số 45/2019/QH14 ngày 20/11/2019 của Quốc hội và các văn bản hướng dẫn thi hành;</w:t>
      </w:r>
    </w:p>
    <w:p>
      <w:pPr>
        <w:pStyle w:val="Normal"/>
        <w:numPr>
          <w:ilvl w:val="0"/>
          <w:numId w:val="1"/>
        </w:numPr>
        <w:spacing w:lineRule="auto" w:line="278" w:before="0" w:after="160"/>
        <w:jc w:val="both"/>
        <w:rPr>
          <w:i/>
          <w:iCs/>
          <w:sz w:val="26"/>
          <w:szCs w:val="26"/>
        </w:rPr>
      </w:pPr>
      <w:r>
        <w:rPr>
          <w:i/>
          <w:iCs/>
          <w:sz w:val="26"/>
          <w:szCs w:val="26"/>
        </w:rPr>
        <w:t>Căn cứ Luật Thể dục, thể thao  số 77/2006/QH11 ngày 29/11/2006 của Quốc hội và các văn bản hướng dẫn thi hành;</w:t>
      </w:r>
    </w:p>
    <w:p>
      <w:pPr>
        <w:pStyle w:val="Normal"/>
        <w:numPr>
          <w:ilvl w:val="0"/>
          <w:numId w:val="1"/>
        </w:numPr>
        <w:spacing w:lineRule="auto" w:line="278" w:before="0" w:after="160"/>
        <w:jc w:val="both"/>
        <w:rPr>
          <w:i/>
          <w:iCs/>
          <w:sz w:val="26"/>
          <w:szCs w:val="26"/>
        </w:rPr>
      </w:pPr>
      <w:r>
        <w:rPr>
          <w:i/>
          <w:iCs/>
          <w:sz w:val="26"/>
          <w:szCs w:val="26"/>
        </w:rPr>
        <w:t>Căn cứ theo nhu cầu và khả năng của mỗi bên.</w:t>
      </w:r>
    </w:p>
    <w:p>
      <w:pPr>
        <w:pStyle w:val="Normal"/>
        <w:spacing w:before="120" w:after="120"/>
        <w:ind w:end="92"/>
        <w:jc w:val="both"/>
        <w:rPr>
          <w:sz w:val="26"/>
          <w:szCs w:val="26"/>
        </w:rPr>
      </w:pPr>
      <w:r>
        <w:rPr>
          <w:sz w:val="26"/>
          <w:szCs w:val="26"/>
        </w:rPr>
        <w:t>Hôm nay, ngày {signDay} tháng {signMonth} năm {signYear}, chúng tôi gồm:</w:t>
      </w:r>
    </w:p>
    <w:p>
      <w:pPr>
        <w:pStyle w:val="Normal"/>
        <w:tabs>
          <w:tab w:val="clear" w:pos="720"/>
          <w:tab w:val="left" w:pos="270" w:leader="none"/>
        </w:tabs>
        <w:jc w:val="both"/>
        <w:rPr>
          <w:b/>
          <w:bCs/>
          <w:sz w:val="26"/>
          <w:szCs w:val="26"/>
        </w:rPr>
      </w:pPr>
      <w:r>
        <w:rPr>
          <w:b/>
          <w:bCs/>
          <w:sz w:val="26"/>
          <w:szCs w:val="26"/>
        </w:rPr>
        <w:t>Bên A: {client.entityName}</w:t>
      </w:r>
    </w:p>
    <w:tbl>
      <w:tblPr>
        <w:tblStyle w:val="a1"/>
        <w:tblW w:w="9500" w:type="dxa"/>
        <w:jc w:val="start"/>
        <w:tblInd w:w="108" w:type="dxa"/>
        <w:tblLayout w:type="fixed"/>
        <w:tblCellMar>
          <w:top w:w="0" w:type="dxa"/>
          <w:start w:w="108" w:type="dxa"/>
          <w:bottom w:w="0" w:type="dxa"/>
          <w:end w:w="108" w:type="dxa"/>
        </w:tblCellMar>
        <w:tblLook w:noHBand="0" w:lastColumn="0" w:firstColumn="0" w:lastRow="0" w:firstRow="0" w:noVBand="1" w:val="0400"/>
      </w:tblPr>
      <w:tblGrid>
        <w:gridCol w:w="1710"/>
        <w:gridCol w:w="7790"/>
      </w:tblGrid>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Địa chỉ</w:t>
            </w:r>
          </w:p>
        </w:tc>
        <w:tc>
          <w:tcPr>
            <w:tcW w:w="779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 {client.address}</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Điện thoại</w:t>
            </w:r>
          </w:p>
        </w:tc>
        <w:tc>
          <w:tcPr>
            <w:tcW w:w="779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 {client.phone}</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Mã số thuế</w:t>
            </w:r>
          </w:p>
        </w:tc>
        <w:tc>
          <w:tcPr>
            <w:tcW w:w="779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 {client.taxId}</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Đại diện là</w:t>
            </w:r>
          </w:p>
        </w:tc>
        <w:tc>
          <w:tcPr>
            <w:tcW w:w="7790" w:type="dxa"/>
            <w:tcBorders/>
          </w:tcPr>
          <w:p>
            <w:pPr>
              <w:pStyle w:val="Normal"/>
              <w:tabs>
                <w:tab w:val="clear" w:pos="720"/>
                <w:tab w:val="left" w:pos="1260" w:leader="none"/>
              </w:tabs>
              <w:spacing w:lineRule="auto" w:line="276"/>
              <w:ind w:end="520"/>
              <w:jc w:val="both"/>
              <w:rPr>
                <w:b/>
                <w:bCs/>
                <w:sz w:val="27"/>
                <w:szCs w:val="27"/>
              </w:rPr>
            </w:pPr>
            <w:r>
              <w:rPr>
                <w:sz w:val="26"/>
                <w:szCs w:val="26"/>
              </w:rPr>
              <w:t xml:space="preserve">: Ông </w:t>
            </w:r>
            <w:r>
              <w:rPr>
                <w:b/>
                <w:bCs/>
                <w:sz w:val="26"/>
                <w:szCs w:val="26"/>
              </w:rPr>
              <w:t>{client.representative}</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Chức vụ</w:t>
            </w:r>
          </w:p>
        </w:tc>
        <w:tc>
          <w:tcPr>
            <w:tcW w:w="7790" w:type="dxa"/>
            <w:tcBorders/>
          </w:tcPr>
          <w:p>
            <w:pPr>
              <w:pStyle w:val="Normal"/>
              <w:tabs>
                <w:tab w:val="clear" w:pos="720"/>
                <w:tab w:val="left" w:pos="1260" w:leader="none"/>
              </w:tabs>
              <w:spacing w:lineRule="auto" w:line="276"/>
              <w:ind w:end="520"/>
              <w:jc w:val="both"/>
              <w:rPr>
                <w:sz w:val="26"/>
                <w:szCs w:val="26"/>
              </w:rPr>
            </w:pPr>
            <w:r>
              <w:rPr>
                <w:sz w:val="27"/>
                <w:szCs w:val="27"/>
              </w:rPr>
              <w:t>:</w:t>
            </w:r>
            <w:r>
              <w:rPr>
                <w:b/>
                <w:bCs/>
                <w:sz w:val="27"/>
                <w:szCs w:val="27"/>
              </w:rPr>
              <w:t xml:space="preserve"> </w:t>
            </w:r>
            <w:r>
              <w:rPr>
                <w:sz w:val="27"/>
                <w:szCs w:val="27"/>
              </w:rPr>
              <w:t>{client.position}</w:t>
            </w:r>
          </w:p>
        </w:tc>
      </w:tr>
    </w:tbl>
    <w:p>
      <w:pPr>
        <w:pStyle w:val="Normal"/>
        <w:tabs>
          <w:tab w:val="clear" w:pos="720"/>
          <w:tab w:val="left" w:pos="1260" w:leader="none"/>
        </w:tabs>
        <w:jc w:val="both"/>
        <w:rPr>
          <w:b/>
          <w:bCs/>
          <w:sz w:val="26"/>
          <w:szCs w:val="26"/>
        </w:rPr>
      </w:pPr>
      <w:r>
        <w:rPr>
          <w:b/>
          <w:bCs/>
          <w:sz w:val="26"/>
          <w:szCs w:val="26"/>
        </w:rPr>
        <w:t>Và:</w:t>
      </w:r>
    </w:p>
    <w:p>
      <w:pPr>
        <w:pStyle w:val="Normal"/>
        <w:spacing w:before="120" w:after="120"/>
        <w:ind w:end="92"/>
        <w:jc w:val="both"/>
        <w:rPr>
          <w:b/>
          <w:bCs/>
          <w:sz w:val="26"/>
          <w:szCs w:val="26"/>
        </w:rPr>
      </w:pPr>
      <w:r>
        <w:rPr>
          <w:b/>
          <w:bCs/>
          <w:sz w:val="26"/>
          <w:szCs w:val="26"/>
        </w:rPr>
        <w:t>Bên B: {provider.entityName}</w:t>
      </w:r>
    </w:p>
    <w:tbl>
      <w:tblPr>
        <w:tblStyle w:val="a2"/>
        <w:tblW w:w="9500" w:type="dxa"/>
        <w:jc w:val="start"/>
        <w:tblInd w:w="108" w:type="dxa"/>
        <w:tblLayout w:type="fixed"/>
        <w:tblCellMar>
          <w:top w:w="0" w:type="dxa"/>
          <w:start w:w="108" w:type="dxa"/>
          <w:bottom w:w="0" w:type="dxa"/>
          <w:end w:w="108" w:type="dxa"/>
        </w:tblCellMar>
        <w:tblLook w:noHBand="0" w:lastColumn="0" w:firstColumn="0" w:lastRow="0" w:firstRow="0" w:noVBand="1" w:val="0400"/>
      </w:tblPr>
      <w:tblGrid>
        <w:gridCol w:w="1710"/>
        <w:gridCol w:w="7790"/>
      </w:tblGrid>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Địa chỉ</w:t>
            </w:r>
          </w:p>
        </w:tc>
        <w:tc>
          <w:tcPr>
            <w:tcW w:w="7790" w:type="dxa"/>
            <w:tcBorders/>
          </w:tcPr>
          <w:p>
            <w:pPr>
              <w:pStyle w:val="Normal"/>
              <w:pBdr/>
              <w:tabs>
                <w:tab w:val="clear" w:pos="720"/>
                <w:tab w:val="left" w:pos="1260" w:leader="none"/>
                <w:tab w:val="left" w:pos="9356" w:leader="none"/>
              </w:tabs>
              <w:jc w:val="both"/>
              <w:rPr>
                <w:sz w:val="26"/>
                <w:szCs w:val="26"/>
              </w:rPr>
            </w:pPr>
            <w:r>
              <w:rPr>
                <w:color w:val="000000"/>
                <w:sz w:val="26"/>
                <w:szCs w:val="26"/>
              </w:rPr>
              <w:t xml:space="preserve">: </w:t>
            </w:r>
            <w:r>
              <w:rPr>
                <w:sz w:val="26"/>
                <w:szCs w:val="26"/>
              </w:rPr>
              <w:t>{provider.address}.</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Điện thoại</w:t>
            </w:r>
          </w:p>
        </w:tc>
        <w:tc>
          <w:tcPr>
            <w:tcW w:w="779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 {client.phone}</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Mã số thuế</w:t>
            </w:r>
          </w:p>
        </w:tc>
        <w:tc>
          <w:tcPr>
            <w:tcW w:w="779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 {provider.taxId}</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Đại diện là</w:t>
            </w:r>
          </w:p>
        </w:tc>
        <w:tc>
          <w:tcPr>
            <w:tcW w:w="7790" w:type="dxa"/>
            <w:tcBorders/>
          </w:tcPr>
          <w:p>
            <w:pPr>
              <w:pStyle w:val="Normal"/>
              <w:tabs>
                <w:tab w:val="clear" w:pos="720"/>
                <w:tab w:val="left" w:pos="1260" w:leader="none"/>
              </w:tabs>
              <w:jc w:val="both"/>
              <w:rPr>
                <w:b/>
                <w:bCs/>
                <w:sz w:val="26"/>
                <w:szCs w:val="26"/>
              </w:rPr>
            </w:pPr>
            <w:r>
              <w:rPr>
                <w:sz w:val="26"/>
                <w:szCs w:val="26"/>
              </w:rPr>
              <w:t>: {provider.representative}</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Chức vụ</w:t>
            </w:r>
          </w:p>
        </w:tc>
        <w:tc>
          <w:tcPr>
            <w:tcW w:w="7790" w:type="dxa"/>
            <w:tcBorders/>
          </w:tcPr>
          <w:p>
            <w:pPr>
              <w:pStyle w:val="Normal"/>
              <w:tabs>
                <w:tab w:val="clear" w:pos="720"/>
                <w:tab w:val="left" w:pos="1260" w:leader="none"/>
              </w:tabs>
              <w:jc w:val="both"/>
              <w:rPr>
                <w:sz w:val="26"/>
                <w:szCs w:val="26"/>
              </w:rPr>
            </w:pPr>
            <w:r>
              <w:rPr>
                <w:sz w:val="26"/>
                <w:szCs w:val="26"/>
              </w:rPr>
              <w:t>:</w:t>
            </w:r>
            <w:r>
              <w:rPr>
                <w:b/>
                <w:bCs/>
                <w:sz w:val="26"/>
                <w:szCs w:val="26"/>
              </w:rPr>
              <w:t xml:space="preserve"> </w:t>
            </w:r>
            <w:r>
              <w:rPr>
                <w:sz w:val="26"/>
                <w:szCs w:val="26"/>
              </w:rPr>
              <w:t>{provider.position}</w:t>
            </w:r>
          </w:p>
        </w:tc>
      </w:tr>
      <w:tr>
        <w:trPr/>
        <w:tc>
          <w:tcPr>
            <w:tcW w:w="1710" w:type="dxa"/>
            <w:tcBorders/>
          </w:tcPr>
          <w:p>
            <w:pPr>
              <w:pStyle w:val="Normal"/>
              <w:pBdr/>
              <w:tabs>
                <w:tab w:val="clear" w:pos="720"/>
                <w:tab w:val="left" w:pos="1260" w:leader="none"/>
                <w:tab w:val="left" w:pos="9356" w:leader="none"/>
              </w:tabs>
              <w:jc w:val="both"/>
              <w:rPr>
                <w:color w:val="000000"/>
                <w:sz w:val="26"/>
                <w:szCs w:val="26"/>
              </w:rPr>
            </w:pPr>
            <w:r>
              <w:rPr>
                <w:color w:val="000000"/>
                <w:sz w:val="26"/>
                <w:szCs w:val="26"/>
              </w:rPr>
              <w:t>Tài khoản</w:t>
            </w:r>
          </w:p>
        </w:tc>
        <w:tc>
          <w:tcPr>
            <w:tcW w:w="7790" w:type="dxa"/>
            <w:tcBorders/>
          </w:tcPr>
          <w:p>
            <w:pPr>
              <w:pStyle w:val="Normal"/>
              <w:tabs>
                <w:tab w:val="clear" w:pos="720"/>
                <w:tab w:val="left" w:pos="1260" w:leader="none"/>
              </w:tabs>
              <w:jc w:val="both"/>
              <w:rPr>
                <w:sz w:val="26"/>
                <w:szCs w:val="26"/>
              </w:rPr>
            </w:pPr>
            <w:r>
              <w:rPr>
                <w:sz w:val="26"/>
                <w:szCs w:val="26"/>
              </w:rPr>
              <w:t>: {provider.bankAccount} - tại ngân hàng {provider.bankName}</w:t>
            </w:r>
          </w:p>
        </w:tc>
      </w:tr>
    </w:tbl>
    <w:p>
      <w:pPr>
        <w:pStyle w:val="Normal"/>
        <w:spacing w:before="120" w:after="120"/>
        <w:ind w:end="92"/>
        <w:jc w:val="both"/>
        <w:rPr>
          <w:sz w:val="26"/>
          <w:szCs w:val="26"/>
        </w:rPr>
      </w:pPr>
      <w:r>
        <w:rPr>
          <w:sz w:val="26"/>
          <w:szCs w:val="26"/>
        </w:rPr>
        <w:t>Các Bên thống nhất các điều khoản cụ thể như sau:</w:t>
      </w:r>
    </w:p>
    <w:p>
      <w:pPr>
        <w:pStyle w:val="Normal"/>
        <w:numPr>
          <w:ilvl w:val="0"/>
          <w:numId w:val="2"/>
        </w:numPr>
        <w:pBdr/>
        <w:spacing w:lineRule="auto" w:line="312" w:before="120" w:after="120"/>
        <w:jc w:val="both"/>
        <w:rPr/>
      </w:pPr>
      <w:r>
        <w:rPr>
          <w:b/>
          <w:bCs/>
          <w:color w:val="000000"/>
          <w:sz w:val="26"/>
          <w:szCs w:val="26"/>
        </w:rPr>
        <w:t>ĐỐI TƯỢNG VÀ PHẠM VI HỢP ĐỒNG</w:t>
      </w:r>
    </w:p>
    <w:p>
      <w:pPr>
        <w:pStyle w:val="Normal"/>
        <w:numPr>
          <w:ilvl w:val="1"/>
          <w:numId w:val="2"/>
        </w:numPr>
        <w:pBdr/>
        <w:jc w:val="both"/>
        <w:rPr>
          <w:b/>
          <w:bCs/>
          <w:color w:val="000000"/>
          <w:sz w:val="26"/>
          <w:szCs w:val="26"/>
        </w:rPr>
      </w:pPr>
      <w:r>
        <w:rPr>
          <w:b/>
          <w:bCs/>
          <w:color w:val="000000"/>
          <w:sz w:val="26"/>
          <w:szCs w:val="26"/>
        </w:rPr>
        <w:t>Định nghĩa/Từ viết tắt:</w:t>
      </w:r>
    </w:p>
    <w:p>
      <w:pPr>
        <w:pStyle w:val="Normal"/>
        <w:numPr>
          <w:ilvl w:val="2"/>
          <w:numId w:val="2"/>
        </w:numPr>
        <w:pBdr/>
        <w:tabs>
          <w:tab w:val="clear" w:pos="720"/>
          <w:tab w:val="left" w:pos="360" w:leader="none"/>
        </w:tabs>
        <w:spacing w:lineRule="auto" w:line="276"/>
        <w:jc w:val="both"/>
        <w:rPr>
          <w:color w:val="000000"/>
          <w:sz w:val="26"/>
          <w:szCs w:val="26"/>
        </w:rPr>
      </w:pPr>
      <w:r>
        <w:rPr>
          <w:color w:val="000000"/>
          <w:sz w:val="26"/>
          <w:szCs w:val="26"/>
        </w:rPr>
        <w:t>"Vận động viên" hay "VĐV": là người tham gia Sự kiện đủ tiêu chuẩn, điều kiện theo quy định tại Hợp đồng này.</w:t>
      </w:r>
    </w:p>
    <w:p>
      <w:pPr>
        <w:pStyle w:val="Normal"/>
        <w:numPr>
          <w:ilvl w:val="2"/>
          <w:numId w:val="2"/>
        </w:numPr>
        <w:pBdr/>
        <w:tabs>
          <w:tab w:val="clear" w:pos="720"/>
          <w:tab w:val="left" w:pos="360" w:leader="none"/>
        </w:tabs>
        <w:spacing w:lineRule="auto" w:line="276"/>
        <w:jc w:val="both"/>
        <w:rPr>
          <w:color w:val="000000"/>
          <w:sz w:val="26"/>
          <w:szCs w:val="26"/>
        </w:rPr>
      </w:pPr>
      <w:r>
        <w:rPr>
          <w:color w:val="000000"/>
          <w:sz w:val="26"/>
          <w:szCs w:val="26"/>
        </w:rPr>
        <w:t xml:space="preserve">"BIB" hay "Bib": .Là mã số định danh cho từng người chạy. Vận động viên phải đeo số Bib khi tham gia giải </w:t>
      </w:r>
      <w:r>
        <w:rPr>
          <w:sz w:val="26"/>
          <w:szCs w:val="26"/>
        </w:rPr>
        <w:t>chạy</w:t>
      </w:r>
      <w:r>
        <w:rPr>
          <w:color w:val="000000"/>
          <w:sz w:val="26"/>
          <w:szCs w:val="26"/>
        </w:rPr>
        <w:t xml:space="preserve"> Bên A.</w:t>
      </w:r>
    </w:p>
    <w:p>
      <w:pPr>
        <w:pStyle w:val="Normal"/>
        <w:numPr>
          <w:ilvl w:val="2"/>
          <w:numId w:val="2"/>
        </w:numPr>
        <w:pBdr/>
        <w:tabs>
          <w:tab w:val="clear" w:pos="720"/>
          <w:tab w:val="left" w:pos="360" w:leader="none"/>
        </w:tabs>
        <w:spacing w:lineRule="auto" w:line="276"/>
        <w:jc w:val="both"/>
        <w:rPr>
          <w:color w:val="000000"/>
          <w:sz w:val="26"/>
          <w:szCs w:val="26"/>
        </w:rPr>
      </w:pPr>
      <w:r>
        <w:rPr>
          <w:color w:val="000000"/>
          <w:sz w:val="26"/>
          <w:szCs w:val="26"/>
        </w:rPr>
        <w:t>“</w:t>
      </w:r>
      <w:r>
        <w:rPr>
          <w:color w:val="000000"/>
          <w:sz w:val="26"/>
          <w:szCs w:val="26"/>
        </w:rPr>
        <w:t>Racekit”: là bộ vật phẩm và tài liệu mà người tham gia giải chạy nhận được khi đăng ký tham dự, bao gồm 01 bib, 01 áo, 01 túi.</w:t>
      </w:r>
    </w:p>
    <w:p>
      <w:pPr>
        <w:pStyle w:val="Normal"/>
        <w:numPr>
          <w:ilvl w:val="1"/>
          <w:numId w:val="2"/>
        </w:numPr>
        <w:pBdr/>
        <w:spacing w:lineRule="auto" w:line="276" w:before="0" w:after="120"/>
        <w:jc w:val="both"/>
        <w:rPr>
          <w:b/>
          <w:bCs/>
          <w:color w:val="000000"/>
          <w:sz w:val="26"/>
          <w:szCs w:val="26"/>
        </w:rPr>
      </w:pPr>
      <w:r>
        <w:rPr>
          <w:b/>
          <w:bCs/>
          <w:color w:val="000000"/>
          <w:sz w:val="26"/>
          <w:szCs w:val="26"/>
        </w:rPr>
        <w:t>Nội dung Hợp đồng:</w:t>
      </w:r>
    </w:p>
    <w:p>
      <w:pPr>
        <w:pStyle w:val="Normal"/>
        <w:spacing w:lineRule="auto" w:line="276" w:before="120" w:after="120"/>
        <w:jc w:val="both"/>
        <w:rPr>
          <w:sz w:val="26"/>
          <w:szCs w:val="26"/>
        </w:rPr>
      </w:pPr>
      <w:r>
        <w:rPr>
          <w:sz w:val="26"/>
          <w:szCs w:val="26"/>
        </w:rPr>
        <w:t xml:space="preserve">Bên A chỉ định và Bên B đồng ý thực hiện vận hành dịch vụ Racekit tại giải chạy </w:t>
      </w:r>
      <w:r>
        <w:rPr>
          <w:i/>
          <w:iCs/>
          <w:sz w:val="26"/>
          <w:szCs w:val="26"/>
        </w:rPr>
        <w:t>{raceName}</w:t>
      </w:r>
      <w:r>
        <w:rPr>
          <w:i/>
          <w:iCs/>
        </w:rPr>
        <w:t xml:space="preserve"> </w:t>
      </w:r>
      <w:r>
        <w:rPr>
          <w:sz w:val="26"/>
          <w:szCs w:val="26"/>
        </w:rPr>
        <w:t>do Bên A tổ chức (sau đây gọi là “Sự kiện/Dịch vụ”) với nội dung như sau:</w:t>
      </w:r>
    </w:p>
    <w:p>
      <w:pPr>
        <w:pStyle w:val="Normal"/>
        <w:numPr>
          <w:ilvl w:val="2"/>
          <w:numId w:val="2"/>
        </w:numPr>
        <w:pBdr/>
        <w:tabs>
          <w:tab w:val="clear" w:pos="720"/>
          <w:tab w:val="left" w:pos="360" w:leader="none"/>
        </w:tabs>
        <w:spacing w:lineRule="auto" w:line="276" w:before="120" w:after="0"/>
        <w:jc w:val="both"/>
        <w:rPr>
          <w:color w:val="000000"/>
          <w:sz w:val="26"/>
          <w:szCs w:val="26"/>
        </w:rPr>
      </w:pPr>
      <w:r>
        <w:rPr>
          <w:b/>
          <w:bCs/>
          <w:color w:val="000000"/>
          <w:sz w:val="26"/>
          <w:szCs w:val="26"/>
        </w:rPr>
        <w:t>Thời gian</w:t>
      </w:r>
      <w:r>
        <w:rPr>
          <w:color w:val="000000"/>
          <w:sz w:val="26"/>
          <w:szCs w:val="26"/>
        </w:rPr>
        <w:t xml:space="preserve">: </w:t>
      </w:r>
      <w:r>
        <w:rPr>
          <w:sz w:val="26"/>
          <w:szCs w:val="26"/>
        </w:rPr>
        <w:t>{eventStartDate} đến {eventEndDate}</w:t>
      </w:r>
    </w:p>
    <w:p>
      <w:pPr>
        <w:pStyle w:val="Normal"/>
        <w:numPr>
          <w:ilvl w:val="2"/>
          <w:numId w:val="2"/>
        </w:numPr>
        <w:pBdr/>
        <w:tabs>
          <w:tab w:val="clear" w:pos="720"/>
          <w:tab w:val="left" w:pos="360" w:leader="none"/>
        </w:tabs>
        <w:spacing w:lineRule="auto" w:line="276"/>
        <w:jc w:val="both"/>
        <w:rPr>
          <w:color w:val="000000"/>
          <w:sz w:val="26"/>
          <w:szCs w:val="26"/>
        </w:rPr>
      </w:pPr>
      <w:r>
        <w:rPr>
          <w:b/>
          <w:bCs/>
          <w:color w:val="000000"/>
          <w:sz w:val="26"/>
          <w:szCs w:val="26"/>
        </w:rPr>
        <w:t>Địa điểm</w:t>
      </w:r>
      <w:r>
        <w:rPr>
          <w:color w:val="000000"/>
          <w:sz w:val="26"/>
          <w:szCs w:val="26"/>
        </w:rPr>
        <w:t xml:space="preserve">: </w:t>
      </w:r>
      <w:r>
        <w:rPr>
          <w:sz w:val="26"/>
          <w:szCs w:val="26"/>
        </w:rPr>
        <w:t>{eventLocation}</w:t>
      </w:r>
    </w:p>
    <w:p>
      <w:pPr>
        <w:pStyle w:val="Normal"/>
        <w:numPr>
          <w:ilvl w:val="2"/>
          <w:numId w:val="2"/>
        </w:numPr>
        <w:pBdr/>
        <w:tabs>
          <w:tab w:val="clear" w:pos="720"/>
          <w:tab w:val="left" w:pos="360" w:leader="none"/>
        </w:tabs>
        <w:spacing w:lineRule="auto" w:line="276"/>
        <w:jc w:val="both"/>
        <w:rPr>
          <w:color w:val="000000"/>
          <w:sz w:val="26"/>
          <w:szCs w:val="26"/>
        </w:rPr>
      </w:pPr>
      <w:r>
        <w:rPr>
          <w:b/>
          <w:bCs/>
          <w:color w:val="000000"/>
          <w:sz w:val="26"/>
          <w:szCs w:val="26"/>
        </w:rPr>
        <w:t>Số lượng VĐV</w:t>
      </w:r>
      <w:r>
        <w:rPr>
          <w:color w:val="000000"/>
          <w:sz w:val="26"/>
          <w:szCs w:val="26"/>
        </w:rPr>
        <w:t xml:space="preserve">: </w:t>
      </w:r>
      <w:r>
        <w:rPr>
          <w:sz w:val="26"/>
          <w:szCs w:val="26"/>
        </w:rPr>
        <w:t xml:space="preserve">{athleteCount}</w:t>
      </w:r>
    </w:p>
    <w:p>
      <w:pPr>
        <w:pStyle w:val="Normal"/>
        <w:numPr>
          <w:ilvl w:val="2"/>
          <w:numId w:val="2"/>
        </w:numPr>
        <w:pBdr/>
        <w:spacing w:lineRule="auto" w:line="276"/>
        <w:jc w:val="both"/>
        <w:rPr>
          <w:color w:val="000000"/>
          <w:sz w:val="26"/>
          <w:szCs w:val="26"/>
        </w:rPr>
      </w:pPr>
      <w:r>
        <w:rPr>
          <w:color w:val="000000"/>
          <w:sz w:val="26"/>
          <w:szCs w:val="26"/>
        </w:rPr>
        <w:t>Chi tiết nội dung công việc và tiến độ thực hiện được quy định trong Phụ lục 01 đính kèm, không tách rời Hợp đồng này.</w:t>
      </w:r>
    </w:p>
    <w:p>
      <w:pPr>
        <w:pStyle w:val="Normal"/>
        <w:numPr>
          <w:ilvl w:val="2"/>
          <w:numId w:val="2"/>
        </w:numPr>
        <w:pBdr/>
        <w:spacing w:lineRule="auto" w:line="276"/>
        <w:ind w:firstLine="720" w:end="-5"/>
        <w:jc w:val="both"/>
        <w:rPr>
          <w:color w:val="000000"/>
          <w:sz w:val="26"/>
          <w:szCs w:val="26"/>
        </w:rPr>
      </w:pPr>
      <w:r>
        <w:rPr>
          <w:color w:val="000000"/>
          <w:sz w:val="26"/>
          <w:szCs w:val="26"/>
        </w:rPr>
        <w:t>Phụ lục được lập kèm theo Hợp đồng và là một bộ phận không thể tách rời của Hợp đồng chính. Mọi nội dung quy định trong Phụ lục có giá trị pháp lý tương đương như các điều khoản trong Hợp đồng và được áp dụng cùng với Hợp đồng chính. Trong trường hợp có sự khác biệt giữa nội dung của Phụ lục và Hợp đồng chính, các bên sẽ ưu tiên áp dụng quy định được hai bên thống nhất ghi tại Phụ lục, trừ khi có thỏa thuận khác bằng văn bản.</w:t>
      </w:r>
    </w:p>
    <w:p>
      <w:pPr>
        <w:pStyle w:val="Normal"/>
        <w:numPr>
          <w:ilvl w:val="0"/>
          <w:numId w:val="2"/>
        </w:numPr>
        <w:pBdr/>
        <w:jc w:val="both"/>
        <w:rPr>
          <w:b/>
          <w:bCs/>
          <w:color w:val="000000"/>
          <w:sz w:val="26"/>
          <w:szCs w:val="26"/>
        </w:rPr>
      </w:pPr>
      <w:r>
        <w:rPr>
          <w:b/>
          <w:bCs/>
          <w:color w:val="000000"/>
          <w:sz w:val="26"/>
          <w:szCs w:val="26"/>
        </w:rPr>
        <w:t>PHÍ DỊCH VỤ, GIÁ TRỊ HỢP ĐỒNG</w:t>
      </w:r>
    </w:p>
    <w:p>
      <w:pPr>
        <w:pStyle w:val="Normal"/>
        <w:numPr>
          <w:ilvl w:val="1"/>
          <w:numId w:val="2"/>
        </w:numPr>
        <w:pBdr/>
        <w:spacing w:lineRule="auto" w:line="276"/>
        <w:jc w:val="both"/>
        <w:rPr>
          <w:b/>
          <w:bCs/>
          <w:color w:val="000000"/>
          <w:sz w:val="26"/>
          <w:szCs w:val="26"/>
        </w:rPr>
      </w:pPr>
      <w:r>
        <w:rPr>
          <w:b/>
          <w:bCs/>
          <w:color w:val="000000"/>
          <w:sz w:val="26"/>
          <w:szCs w:val="26"/>
        </w:rPr>
        <w:t>Tổng giá trị Hợp đồng</w:t>
      </w:r>
      <w:r>
        <w:rPr>
          <w:color w:val="000000"/>
          <w:sz w:val="26"/>
          <w:szCs w:val="26"/>
        </w:rPr>
        <w:t xml:space="preserve"> (đã bao gồm 8% VAT): </w:t>
      </w:r>
      <w:r>
        <w:rPr>
          <w:b/>
          <w:bCs/>
          <w:sz w:val="26"/>
          <w:szCs w:val="26"/>
        </w:rPr>
        <w:t>{totalAmount} VND</w:t>
      </w:r>
    </w:p>
    <w:p>
      <w:pPr>
        <w:pStyle w:val="Normal"/>
        <w:pBdr/>
        <w:spacing w:lineRule="auto" w:line="276" w:before="0" w:after="120"/>
        <w:jc w:val="both"/>
        <w:rPr>
          <w:i/>
          <w:iCs/>
          <w:color w:val="000000"/>
          <w:sz w:val="26"/>
          <w:szCs w:val="26"/>
        </w:rPr>
      </w:pPr>
      <w:r>
        <w:rPr>
          <w:i/>
          <w:iCs/>
          <w:color w:val="000000"/>
          <w:sz w:val="26"/>
          <w:szCs w:val="26"/>
        </w:rPr>
        <w:t>(Bằng chữ:</w:t>
      </w:r>
      <w:r>
        <w:rPr>
          <w:i/>
          <w:iCs/>
          <w:sz w:val="26"/>
          <w:szCs w:val="26"/>
        </w:rPr>
        <w:t xml:space="preserve"> </w:t>
      </w:r>
      <w:r>
        <w:rPr>
          <w:i/>
          <w:iCs/>
        </w:rPr>
        <w:t xml:space="preserve"> {totalAmountInWords}</w:t>
      </w:r>
      <w:r>
        <w:rPr>
          <w:i/>
          <w:iCs/>
          <w:color w:val="000000"/>
          <w:sz w:val="26"/>
          <w:szCs w:val="26"/>
        </w:rPr>
        <w:t>) chi tiết cụ thể như sau:</w:t>
      </w:r>
    </w:p>
    <w:p>
      <w:pPr>
        <w:pStyle w:val="Normal"/>
        <w:pBdr/>
        <w:spacing w:lineRule="auto" w:line="276" w:before="0" w:after="120"/>
        <w:jc w:val="both"/>
        <w:rPr>
          <w:color w:val="000000"/>
          <w:sz w:val="26"/>
          <w:szCs w:val="26"/>
        </w:rPr>
      </w:pPr>
      <w:r>
        <w:rPr>
          <w:color w:val="000000"/>
          <w:sz w:val="26"/>
          <w:szCs w:val="26"/>
        </w:rPr>
        <w:t>5BIB vận hành toàn bộ quầy racekit:</w:t>
      </w:r>
    </w:p>
    <w:tbl>
      <w:tblPr>
        <w:tblW w:w="9495" w:type="dxa"/>
        <w:jc w:val="start"/>
        <w:tblInd w:w="0" w:type="dxa"/>
        <w:tblLayout w:type="fixed"/>
        <w:tblCellMar>
          <w:top w:w="0" w:type="dxa"/>
          <w:start w:w="40" w:type="dxa"/>
          <w:bottom w:w="0" w:type="dxa"/>
          <w:end w:w="40" w:type="dxa"/>
        </w:tblCellMar>
        <w:tblLook w:noHBand="1" w:lastColumn="0" w:firstColumn="0" w:lastRow="0" w:firstRow="0" w:noVBand="1" w:val="0600"/>
      </w:tblPr>
      <w:tblGrid>
        <w:gridCol w:w="690"/>
        <w:gridCol w:w="1379"/>
        <w:gridCol w:w="2602"/>
        <w:gridCol w:w="1350"/>
        <w:gridCol w:w="900"/>
        <w:gridCol w:w="1081"/>
        <w:gridCol w:w="1493"/>
      </w:tblGrid>
      <w:tr>
        <w:trPr>
          <w:tblHeader w:val="true"/>
          <w:trHeight w:val="14" w:hRule="atLeast"/>
        </w:trPr>
        <w:tc>
          <w:tcPr>
            <w:tcW w:w="690" w:type="dxa"/>
            <w:tcBorders>
              <w:top w:val="single" w:sz="6" w:space="0" w:color="000000"/>
              <w:start w:val="single" w:sz="6" w:space="0" w:color="000000"/>
              <w:bottom w:val="single" w:sz="6" w:space="0" w:color="000000"/>
              <w:end w:val="single" w:sz="6" w:space="0" w:color="000000"/>
            </w:tcBorders>
            <w:shd w:color="auto" w:fill="A8D08D" w:val="clear"/>
            <w:vAlign w:val="bottom"/>
          </w:tcPr>
          <w:p>
            <w:pPr>
              <w:pStyle w:val="Normal"/>
              <w:widowControl w:val="false"/>
              <w:spacing w:lineRule="auto" w:line="276"/>
              <w:jc w:val="center"/>
              <w:rPr>
                <w:sz w:val="26"/>
                <w:szCs w:val="26"/>
              </w:rPr>
            </w:pPr>
            <w:r>
              <w:rPr>
                <w:b/>
                <w:bCs/>
                <w:sz w:val="26"/>
                <w:szCs w:val="26"/>
              </w:rPr>
              <w:t>STT</w:t>
            </w:r>
          </w:p>
        </w:tc>
        <w:tc>
          <w:tcPr>
            <w:tcW w:w="1379" w:type="dxa"/>
            <w:tcBorders>
              <w:top w:val="single" w:sz="6" w:space="0" w:color="000000"/>
              <w:start w:val="single" w:sz="6" w:space="0" w:color="000000"/>
              <w:bottom w:val="single" w:sz="6" w:space="0" w:color="000000"/>
              <w:end w:val="single" w:sz="6" w:space="0" w:color="000000"/>
            </w:tcBorders>
            <w:shd w:color="auto" w:fill="A8D08D" w:val="clear"/>
            <w:vAlign w:val="bottom"/>
          </w:tcPr>
          <w:p>
            <w:pPr>
              <w:pStyle w:val="Normal"/>
              <w:widowControl w:val="false"/>
              <w:spacing w:lineRule="auto" w:line="276"/>
              <w:jc w:val="center"/>
              <w:rPr>
                <w:sz w:val="26"/>
                <w:szCs w:val="26"/>
              </w:rPr>
            </w:pPr>
            <w:r>
              <w:rPr>
                <w:b/>
                <w:bCs/>
                <w:sz w:val="26"/>
                <w:szCs w:val="26"/>
              </w:rPr>
              <w:t>Mục</w:t>
            </w:r>
          </w:p>
        </w:tc>
        <w:tc>
          <w:tcPr>
            <w:tcW w:w="2602" w:type="dxa"/>
            <w:tcBorders>
              <w:top w:val="single" w:sz="6" w:space="0" w:color="000000"/>
              <w:start w:val="single" w:sz="6" w:space="0" w:color="000000"/>
              <w:bottom w:val="single" w:sz="6" w:space="0" w:color="000000"/>
              <w:end w:val="single" w:sz="6" w:space="0" w:color="000000"/>
            </w:tcBorders>
            <w:shd w:color="auto" w:fill="A8D08D" w:val="clear"/>
            <w:vAlign w:val="bottom"/>
          </w:tcPr>
          <w:p>
            <w:pPr>
              <w:pStyle w:val="Normal"/>
              <w:widowControl w:val="false"/>
              <w:spacing w:lineRule="auto" w:line="276"/>
              <w:jc w:val="center"/>
              <w:rPr>
                <w:sz w:val="26"/>
                <w:szCs w:val="26"/>
              </w:rPr>
            </w:pPr>
            <w:r>
              <w:rPr>
                <w:b/>
                <w:bCs/>
                <w:sz w:val="26"/>
                <w:szCs w:val="26"/>
              </w:rPr>
              <w:t>Mô tả</w:t>
            </w:r>
          </w:p>
        </w:tc>
        <w:tc>
          <w:tcPr>
            <w:tcW w:w="1350" w:type="dxa"/>
            <w:tcBorders>
              <w:top w:val="single" w:sz="6" w:space="0" w:color="000000"/>
              <w:start w:val="single" w:sz="6" w:space="0" w:color="000000"/>
              <w:bottom w:val="single" w:sz="6" w:space="0" w:color="000000"/>
              <w:end w:val="single" w:sz="6" w:space="0" w:color="000000"/>
            </w:tcBorders>
            <w:shd w:color="auto" w:fill="A8D08D" w:val="clear"/>
            <w:vAlign w:val="bottom"/>
          </w:tcPr>
          <w:p>
            <w:pPr>
              <w:pStyle w:val="Normal"/>
              <w:widowControl w:val="false"/>
              <w:spacing w:lineRule="auto" w:line="276"/>
              <w:jc w:val="center"/>
              <w:rPr>
                <w:sz w:val="26"/>
                <w:szCs w:val="26"/>
              </w:rPr>
            </w:pPr>
            <w:r>
              <w:rPr>
                <w:b/>
                <w:bCs/>
                <w:sz w:val="26"/>
                <w:szCs w:val="26"/>
              </w:rPr>
              <w:t>Đơn giá</w:t>
            </w:r>
          </w:p>
        </w:tc>
        <w:tc>
          <w:tcPr>
            <w:tcW w:w="900" w:type="dxa"/>
            <w:tcBorders>
              <w:top w:val="single" w:sz="6" w:space="0" w:color="000000"/>
              <w:start w:val="single" w:sz="6" w:space="0" w:color="000000"/>
              <w:bottom w:val="single" w:sz="6" w:space="0" w:color="000000"/>
              <w:end w:val="single" w:sz="6" w:space="0" w:color="000000"/>
            </w:tcBorders>
            <w:shd w:color="auto" w:fill="A8D08D" w:val="clear"/>
            <w:vAlign w:val="bottom"/>
          </w:tcPr>
          <w:p>
            <w:pPr>
              <w:pStyle w:val="Normal"/>
              <w:widowControl w:val="false"/>
              <w:spacing w:lineRule="auto" w:line="276"/>
              <w:jc w:val="center"/>
              <w:rPr>
                <w:sz w:val="26"/>
                <w:szCs w:val="26"/>
              </w:rPr>
            </w:pPr>
            <w:r>
              <w:rPr>
                <w:b/>
                <w:bCs/>
                <w:sz w:val="26"/>
                <w:szCs w:val="26"/>
              </w:rPr>
              <w:t>Số lượng</w:t>
            </w:r>
          </w:p>
        </w:tc>
        <w:tc>
          <w:tcPr>
            <w:tcW w:w="1081" w:type="dxa"/>
            <w:tcBorders>
              <w:top w:val="single" w:sz="6" w:space="0" w:color="000000"/>
              <w:start w:val="single" w:sz="6" w:space="0" w:color="000000"/>
              <w:bottom w:val="single" w:sz="6" w:space="0" w:color="000000"/>
              <w:end w:val="single" w:sz="6" w:space="0" w:color="000000"/>
            </w:tcBorders>
            <w:shd w:color="auto" w:fill="A8D08D" w:val="clear"/>
            <w:vAlign w:val="bottom"/>
          </w:tcPr>
          <w:p>
            <w:pPr>
              <w:pStyle w:val="Normal"/>
              <w:widowControl w:val="false"/>
              <w:spacing w:lineRule="auto" w:line="276"/>
              <w:jc w:val="center"/>
              <w:rPr>
                <w:sz w:val="26"/>
                <w:szCs w:val="26"/>
              </w:rPr>
            </w:pPr>
            <w:r>
              <w:rPr>
                <w:b/>
                <w:bCs/>
                <w:sz w:val="26"/>
                <w:szCs w:val="26"/>
              </w:rPr>
              <w:t>Chiết khấu</w:t>
            </w:r>
          </w:p>
        </w:tc>
        <w:tc>
          <w:tcPr>
            <w:tcW w:w="1493" w:type="dxa"/>
            <w:tcBorders>
              <w:top w:val="single" w:sz="6" w:space="0" w:color="000000"/>
              <w:start w:val="single" w:sz="6" w:space="0" w:color="000000"/>
              <w:bottom w:val="single" w:sz="6" w:space="0" w:color="000000"/>
              <w:end w:val="single" w:sz="6" w:space="0" w:color="000000"/>
            </w:tcBorders>
            <w:shd w:color="auto" w:fill="A8D08D" w:val="clear"/>
            <w:vAlign w:val="bottom"/>
          </w:tcPr>
          <w:p>
            <w:pPr>
              <w:pStyle w:val="Normal"/>
              <w:widowControl w:val="false"/>
              <w:spacing w:lineRule="auto" w:line="276"/>
              <w:jc w:val="center"/>
              <w:rPr>
                <w:sz w:val="26"/>
                <w:szCs w:val="26"/>
              </w:rPr>
            </w:pPr>
            <w:r>
              <w:rPr>
                <w:b/>
                <w:bCs/>
                <w:sz w:val="26"/>
                <w:szCs w:val="26"/>
              </w:rPr>
              <w:t>Thành tiền</w:t>
            </w:r>
          </w:p>
        </w:tc>
      </w:tr>
      <w:tr>
        <w:trPr>
          <w:trHeight w:val="198" w:hRule="atLeast"/>
        </w:trPr>
        <w:tc>
          <w:tcPr>
            <w:tcW w:w="69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before="0" w:after="200"/>
              <w:jc w:val="center"/>
              <w:rPr>
                <w:rFonts w:ascii="Arial" w:hAnsi="Arial" w:eastAsia="Arial" w:cs="Arial"/>
              </w:rPr>
            </w:pPr>
            <w:r>
              <w:rPr>
                <w:rFonts w:eastAsia="Arial" w:cs="Arial" w:ascii="Arial" w:hAnsi="Arial"/>
              </w:rPr>
              <w:t>{#lineItems}{stt}</w:t>
            </w:r>
          </w:p>
        </w:tc>
        <w:tc>
          <w:tcPr>
            <w:tcW w:w="1379" w:type="dxa"/>
            <w:tcBorders>
              <w:top w:val="single" w:sz="6" w:space="0" w:color="000000"/>
              <w:start w:val="single" w:sz="6" w:space="0" w:color="000000"/>
              <w:bottom w:val="single" w:sz="6" w:space="0" w:color="000000"/>
              <w:end w:val="single" w:sz="6" w:space="0" w:color="000000"/>
            </w:tcBorders>
            <w:vAlign w:val="bottom"/>
          </w:tcPr>
          <w:p>
            <w:pPr>
              <w:pStyle w:val="Normal"/>
              <w:widowControl w:val="false"/>
              <w:spacing w:lineRule="auto" w:line="276"/>
              <w:rPr>
                <w:sz w:val="26"/>
                <w:szCs w:val="26"/>
              </w:rPr>
            </w:pPr>
            <w:r>
              <w:rPr>
                <w:sz w:val="26"/>
                <w:szCs w:val="26"/>
              </w:rPr>
              <w:t>{description}</w:t>
            </w:r>
          </w:p>
        </w:tc>
        <w:tc>
          <w:tcPr>
            <w:tcW w:w="2602" w:type="dxa"/>
            <w:tcBorders>
              <w:top w:val="single" w:sz="6" w:space="0" w:color="000000"/>
              <w:start w:val="single" w:sz="6" w:space="0" w:color="CCCCCC"/>
              <w:bottom w:val="single" w:sz="6" w:space="0" w:color="000000"/>
              <w:end w:val="single" w:sz="6" w:space="0" w:color="000000"/>
            </w:tcBorders>
            <w:vAlign w:val="bottom"/>
          </w:tcPr>
          <w:p>
            <w:pPr>
              <w:pStyle w:val="Normal"/>
              <w:widowControl w:val="false"/>
              <w:spacing w:lineRule="auto" w:line="276"/>
              <w:rPr>
                <w:sz w:val="26"/>
                <w:szCs w:val="26"/>
              </w:rPr>
            </w:pPr>
            <w:r>
              <w:rPr>
                <w:sz w:val="26"/>
                <w:szCs w:val="26"/>
              </w:rPr>
              <w:t>{description}</w:t>
            </w:r>
          </w:p>
        </w:tc>
        <w:tc>
          <w:tcPr>
            <w:tcW w:w="1350" w:type="dxa"/>
            <w:tcBorders>
              <w:top w:val="single" w:sz="6" w:space="0" w:color="000000"/>
              <w:start w:val="single" w:sz="6" w:space="0" w:color="CCCCCC"/>
              <w:bottom w:val="single" w:sz="6" w:space="0" w:color="000000"/>
              <w:end w:val="single" w:sz="6" w:space="0" w:color="000000"/>
            </w:tcBorders>
            <w:vAlign w:val="bottom"/>
          </w:tcPr>
          <w:p>
            <w:pPr>
              <w:pStyle w:val="Normal"/>
              <w:widowControl w:val="false"/>
              <w:spacing w:lineRule="auto" w:line="276"/>
              <w:jc w:val="center"/>
              <w:rPr>
                <w:sz w:val="26"/>
                <w:szCs w:val="26"/>
              </w:rPr>
            </w:pPr>
            <w:r>
              <w:rPr>
                <w:sz w:val="26"/>
                <w:szCs w:val="26"/>
              </w:rPr>
              <w:t>{unitPrice}</w:t>
            </w:r>
          </w:p>
        </w:tc>
        <w:tc>
          <w:tcPr>
            <w:tcW w:w="900" w:type="dxa"/>
            <w:tcBorders>
              <w:top w:val="single" w:sz="6" w:space="0" w:color="000000"/>
              <w:start w:val="single" w:sz="6" w:space="0" w:color="CCCCCC"/>
              <w:bottom w:val="single" w:sz="6" w:space="0" w:color="000000"/>
              <w:end w:val="single" w:sz="6" w:space="0" w:color="000000"/>
            </w:tcBorders>
            <w:vAlign w:val="bottom"/>
          </w:tcPr>
          <w:p>
            <w:pPr>
              <w:pStyle w:val="Normal"/>
              <w:widowControl w:val="false"/>
              <w:spacing w:lineRule="auto" w:line="276"/>
              <w:jc w:val="center"/>
              <w:rPr>
                <w:sz w:val="26"/>
                <w:szCs w:val="26"/>
              </w:rPr>
            </w:pPr>
            <w:r>
              <w:rPr>
                <w:sz w:val="26"/>
                <w:szCs w:val="26"/>
              </w:rPr>
              <w:t>{quantity}</w:t>
            </w:r>
          </w:p>
        </w:tc>
        <w:tc>
          <w:tcPr>
            <w:tcW w:w="1081" w:type="dxa"/>
            <w:tcBorders>
              <w:top w:val="single" w:sz="6" w:space="0" w:color="000000"/>
              <w:start w:val="single" w:sz="6" w:space="0" w:color="CCCCCC"/>
              <w:bottom w:val="single" w:sz="6" w:space="0" w:color="000000"/>
              <w:end w:val="single" w:sz="6" w:space="0" w:color="000000"/>
            </w:tcBorders>
            <w:vAlign w:val="bottom"/>
          </w:tcPr>
          <w:p>
            <w:pPr>
              <w:pStyle w:val="Normal"/>
              <w:widowControl w:val="false"/>
              <w:spacing w:lineRule="auto" w:line="276"/>
              <w:jc w:val="center"/>
              <w:rPr>
                <w:sz w:val="26"/>
                <w:szCs w:val="26"/>
              </w:rPr>
            </w:pPr>
            <w:r>
              <w:rPr/>
              <w:t>{discount}</w:t>
            </w:r>
          </w:p>
        </w:tc>
        <w:tc>
          <w:tcPr>
            <w:tcW w:w="1493" w:type="dxa"/>
            <w:tcBorders>
              <w:top w:val="single" w:sz="6" w:space="0" w:color="000000"/>
              <w:start w:val="single" w:sz="6" w:space="0" w:color="CCCCCC"/>
              <w:bottom w:val="single" w:sz="6" w:space="0" w:color="000000"/>
              <w:end w:val="single" w:sz="6" w:space="0" w:color="000000"/>
            </w:tcBorders>
            <w:vAlign w:val="bottom"/>
          </w:tcPr>
          <w:p>
            <w:pPr>
              <w:pStyle w:val="Normal"/>
              <w:widowControl w:val="false"/>
              <w:spacing w:lineRule="auto" w:line="276"/>
              <w:jc w:val="end"/>
              <w:rPr>
                <w:sz w:val="26"/>
                <w:szCs w:val="26"/>
              </w:rPr>
            </w:pPr>
            <w:r>
              <w:rPr>
                <w:sz w:val="26"/>
                <w:szCs w:val="26"/>
              </w:rPr>
              <w:t>{amount}{/lineItems}</w:t>
            </w:r>
          </w:p>
        </w:tc>
      </w:tr>
    </w:tbl>
    <w:p>
      <w:pPr>
        <w:pStyle w:val="Normal"/>
        <w:pBdr/>
        <w:spacing w:lineRule="auto" w:line="276" w:before="0" w:after="120"/>
        <w:jc w:val="both"/>
        <w:rPr>
          <w:b/>
          <w:bCs/>
          <w:color w:val="000000"/>
          <w:sz w:val="26"/>
          <w:szCs w:val="26"/>
        </w:rPr>
      </w:pPr>
      <w:r>
        <w:rPr>
          <w:b/>
          <w:bCs/>
          <w:color w:val="000000"/>
          <w:sz w:val="26"/>
          <w:szCs w:val="26"/>
        </w:rPr>
      </w:r>
    </w:p>
    <w:p>
      <w:pPr>
        <w:pStyle w:val="Normal"/>
        <w:numPr>
          <w:ilvl w:val="1"/>
          <w:numId w:val="2"/>
        </w:numPr>
        <w:pBdr/>
        <w:spacing w:lineRule="auto" w:line="276" w:before="120" w:after="0"/>
        <w:jc w:val="both"/>
        <w:rPr>
          <w:color w:val="000000"/>
          <w:sz w:val="26"/>
          <w:szCs w:val="26"/>
        </w:rPr>
      </w:pPr>
      <w:bookmarkStart w:id="2" w:name="_heading=h.fcggvbisheio"/>
      <w:bookmarkEnd w:id="2"/>
      <w:r>
        <w:rPr>
          <w:color w:val="000000"/>
          <w:sz w:val="26"/>
          <w:szCs w:val="26"/>
        </w:rPr>
        <w:t xml:space="preserve">Tổng giá trị Hợp đồng này đã bao gồm thuế VAT và các chi phí phát sinh liên quan đến việc cung cấp Dịch vụ, bao gồm cả chi phí vận chuyển, lắp đặt và tháo gỡ thiết bị, thu dọn hiện trường và bàn giao hiện trạng ban đầu sau khi kết thúc Sự kiện. Giá trị Hợp đồng có thể thay đổi căn cứ vào các chi phí phát sinh thực tế từ việc thực hiện Dịch vụ. Tuy nhiên, bất cứ chi phí phát sinh mà có thể làm thay đổi Tổng giá trị Hợp đồng nêu trên phải được Hai Bên thống nhất phê duyệt bằng văn bản trước khi thực hiện công việc phát sinh đó. </w:t>
      </w:r>
    </w:p>
    <w:p>
      <w:pPr>
        <w:pStyle w:val="Normal"/>
        <w:numPr>
          <w:ilvl w:val="0"/>
          <w:numId w:val="2"/>
        </w:numPr>
        <w:pBdr/>
        <w:jc w:val="both"/>
        <w:rPr>
          <w:b/>
          <w:bCs/>
          <w:color w:val="000000"/>
          <w:sz w:val="26"/>
          <w:szCs w:val="26"/>
        </w:rPr>
      </w:pPr>
      <w:r>
        <w:rPr>
          <w:b/>
          <w:bCs/>
          <w:color w:val="000000"/>
          <w:sz w:val="26"/>
          <w:szCs w:val="26"/>
        </w:rPr>
        <w:t>ĐIỀU KHOẢN THANH TOÁN</w:t>
      </w:r>
    </w:p>
    <w:p>
      <w:pPr>
        <w:pStyle w:val="Normal"/>
        <w:numPr>
          <w:ilvl w:val="1"/>
          <w:numId w:val="2"/>
        </w:numPr>
        <w:pBdr/>
        <w:spacing w:lineRule="auto" w:line="276"/>
        <w:jc w:val="both"/>
        <w:rPr>
          <w:color w:val="000000"/>
          <w:sz w:val="26"/>
          <w:szCs w:val="26"/>
        </w:rPr>
      </w:pPr>
      <w:r>
        <w:rPr>
          <w:b/>
          <w:bCs/>
          <w:color w:val="000000"/>
          <w:sz w:val="26"/>
          <w:szCs w:val="26"/>
        </w:rPr>
        <w:t xml:space="preserve">Thanh toán: </w:t>
      </w:r>
      <w:r>
        <w:rPr>
          <w:color w:val="000000"/>
          <w:sz w:val="26"/>
          <w:szCs w:val="26"/>
        </w:rPr>
        <w:t xml:space="preserve">Tổng giá trị Hợp đồng sẽ được Bên A thanh toán cho Bên B thành 2 đợt như sau: </w:t>
      </w:r>
    </w:p>
    <w:p>
      <w:pPr>
        <w:pStyle w:val="Normal"/>
        <w:numPr>
          <w:ilvl w:val="2"/>
          <w:numId w:val="2"/>
        </w:numPr>
        <w:pBdr/>
        <w:tabs>
          <w:tab w:val="left" w:pos="540" w:leader="none"/>
          <w:tab w:val="left" w:pos="720" w:leader="none"/>
        </w:tabs>
        <w:spacing w:lineRule="auto" w:line="276"/>
        <w:jc w:val="both"/>
        <w:rPr>
          <w:color w:val="000000"/>
          <w:sz w:val="26"/>
          <w:szCs w:val="26"/>
        </w:rPr>
      </w:pPr>
      <w:r>
        <w:rPr>
          <w:b/>
          <w:bCs/>
          <w:color w:val="000000"/>
          <w:sz w:val="26"/>
          <w:szCs w:val="26"/>
        </w:rPr>
        <w:t xml:space="preserve">Thanh toán đợt 1: </w:t>
      </w:r>
      <w:r>
        <w:rPr>
          <w:color w:val="000000"/>
          <w:sz w:val="26"/>
          <w:szCs w:val="26"/>
        </w:rPr>
        <w:t xml:space="preserve">Bên A sẽ thanh toán cho Bên B </w:t>
      </w:r>
      <w:r>
        <w:rPr>
          <w:sz w:val="26"/>
          <w:szCs w:val="26"/>
        </w:rPr>
        <w:t>50</w:t>
      </w:r>
      <w:r>
        <w:rPr>
          <w:color w:val="000000"/>
          <w:sz w:val="26"/>
          <w:szCs w:val="26"/>
        </w:rPr>
        <w:t>% Tổng giá trị Hợp đồng nêu tại Điều 2 của Hợp đồng này</w:t>
      </w:r>
      <w:r>
        <w:rPr>
          <w:i/>
          <w:iCs/>
          <w:color w:val="000000"/>
          <w:sz w:val="26"/>
          <w:szCs w:val="26"/>
        </w:rPr>
        <w:t xml:space="preserve"> </w:t>
      </w:r>
      <w:r>
        <w:rPr>
          <w:color w:val="000000"/>
          <w:sz w:val="26"/>
          <w:szCs w:val="26"/>
        </w:rPr>
        <w:t>trong vòng mười (10) ngày làm việc sau khi hai Bên ký kết Hợp đồng và Bên A nhận được đủ hồ sơ thanh toán gồm:</w:t>
      </w:r>
    </w:p>
    <w:p>
      <w:pPr>
        <w:pStyle w:val="Normal"/>
        <w:numPr>
          <w:ilvl w:val="2"/>
          <w:numId w:val="3"/>
        </w:numPr>
        <w:pBdr/>
        <w:tabs>
          <w:tab w:val="left" w:pos="540" w:leader="none"/>
          <w:tab w:val="left" w:pos="720" w:leader="none"/>
          <w:tab w:val="left" w:pos="1440" w:leader="none"/>
        </w:tabs>
        <w:spacing w:lineRule="auto" w:line="276"/>
        <w:jc w:val="both"/>
        <w:rPr>
          <w:color w:val="000000"/>
          <w:sz w:val="26"/>
          <w:szCs w:val="26"/>
        </w:rPr>
      </w:pPr>
      <w:r>
        <w:rPr>
          <w:color w:val="000000"/>
          <w:sz w:val="26"/>
          <w:szCs w:val="26"/>
        </w:rPr>
        <w:t>Đề nghị thanh toán của Bên B;</w:t>
      </w:r>
    </w:p>
    <w:p>
      <w:pPr>
        <w:pStyle w:val="Normal"/>
        <w:numPr>
          <w:ilvl w:val="2"/>
          <w:numId w:val="3"/>
        </w:numPr>
        <w:pBdr/>
        <w:tabs>
          <w:tab w:val="left" w:pos="540" w:leader="none"/>
          <w:tab w:val="left" w:pos="720" w:leader="none"/>
          <w:tab w:val="left" w:pos="1440" w:leader="none"/>
        </w:tabs>
        <w:spacing w:lineRule="auto" w:line="276"/>
        <w:jc w:val="both"/>
        <w:rPr>
          <w:color w:val="000000"/>
          <w:sz w:val="26"/>
          <w:szCs w:val="26"/>
        </w:rPr>
      </w:pPr>
      <w:r>
        <w:rPr>
          <w:color w:val="000000"/>
          <w:sz w:val="26"/>
          <w:szCs w:val="26"/>
        </w:rPr>
        <w:t xml:space="preserve">Hóa đơn tài chính hợp pháp, hợp lệ tương ứng </w:t>
      </w:r>
      <w:r>
        <w:rPr>
          <w:sz w:val="26"/>
          <w:szCs w:val="26"/>
        </w:rPr>
        <w:t>5</w:t>
      </w:r>
      <w:r>
        <w:rPr>
          <w:color w:val="000000"/>
          <w:sz w:val="26"/>
          <w:szCs w:val="26"/>
        </w:rPr>
        <w:t>0% Tổng Giá trị Hợp đồng.</w:t>
      </w:r>
    </w:p>
    <w:p>
      <w:pPr>
        <w:pStyle w:val="Normal"/>
        <w:numPr>
          <w:ilvl w:val="2"/>
          <w:numId w:val="2"/>
        </w:numPr>
        <w:pBdr/>
        <w:tabs>
          <w:tab w:val="left" w:pos="540" w:leader="none"/>
          <w:tab w:val="left" w:pos="720" w:leader="none"/>
        </w:tabs>
        <w:spacing w:lineRule="auto" w:line="276"/>
        <w:jc w:val="both"/>
        <w:rPr>
          <w:i/>
          <w:iCs/>
          <w:color w:val="000000"/>
          <w:sz w:val="26"/>
          <w:szCs w:val="26"/>
        </w:rPr>
      </w:pPr>
      <w:r>
        <w:rPr>
          <w:b/>
          <w:bCs/>
          <w:color w:val="000000"/>
          <w:sz w:val="26"/>
          <w:szCs w:val="26"/>
        </w:rPr>
        <w:t xml:space="preserve">Thanh toán đợt </w:t>
      </w:r>
      <w:r>
        <w:rPr>
          <w:b/>
          <w:bCs/>
          <w:sz w:val="26"/>
          <w:szCs w:val="26"/>
        </w:rPr>
        <w:t>2</w:t>
      </w:r>
      <w:r>
        <w:rPr>
          <w:b/>
          <w:bCs/>
          <w:color w:val="000000"/>
          <w:sz w:val="26"/>
          <w:szCs w:val="26"/>
        </w:rPr>
        <w:t xml:space="preserve">: </w:t>
      </w:r>
      <w:r>
        <w:rPr>
          <w:color w:val="000000"/>
          <w:sz w:val="26"/>
          <w:szCs w:val="26"/>
        </w:rPr>
        <w:t xml:space="preserve">Bên A sẽ thanh toán cho Bên B giá trị còn lại của Hợp đồng và các chi phí phát sinh (nếu có) theo xác nhận của hai Bên trong Biên bản nghiệm thu, trong vòng ba mươi (30) ngày làm việc sau khi Bên B hoàn thành việc cung cấp Dịch vụ và Bên A nhận được hồ sơ thanh toán đợt </w:t>
      </w:r>
      <w:r>
        <w:rPr>
          <w:sz w:val="26"/>
          <w:szCs w:val="26"/>
        </w:rPr>
        <w:t xml:space="preserve">2 </w:t>
      </w:r>
      <w:r>
        <w:rPr>
          <w:color w:val="000000"/>
          <w:sz w:val="26"/>
          <w:szCs w:val="26"/>
        </w:rPr>
        <w:t>gồm:</w:t>
      </w:r>
    </w:p>
    <w:p>
      <w:pPr>
        <w:pStyle w:val="Normal"/>
        <w:numPr>
          <w:ilvl w:val="2"/>
          <w:numId w:val="3"/>
        </w:numPr>
        <w:pBdr/>
        <w:tabs>
          <w:tab w:val="left" w:pos="540" w:leader="none"/>
          <w:tab w:val="left" w:pos="720" w:leader="none"/>
          <w:tab w:val="left" w:pos="1440" w:leader="none"/>
        </w:tabs>
        <w:spacing w:lineRule="auto" w:line="276"/>
        <w:jc w:val="both"/>
        <w:rPr>
          <w:color w:val="000000"/>
          <w:sz w:val="26"/>
          <w:szCs w:val="26"/>
        </w:rPr>
      </w:pPr>
      <w:r>
        <w:rPr>
          <w:color w:val="000000"/>
          <w:sz w:val="26"/>
          <w:szCs w:val="26"/>
        </w:rPr>
        <w:t>Giấy đề nghị thanh toán;</w:t>
      </w:r>
    </w:p>
    <w:p>
      <w:pPr>
        <w:pStyle w:val="Normal"/>
        <w:numPr>
          <w:ilvl w:val="2"/>
          <w:numId w:val="3"/>
        </w:numPr>
        <w:pBdr/>
        <w:tabs>
          <w:tab w:val="left" w:pos="540" w:leader="none"/>
          <w:tab w:val="left" w:pos="720" w:leader="none"/>
          <w:tab w:val="left" w:pos="1440" w:leader="none"/>
        </w:tabs>
        <w:spacing w:lineRule="auto" w:line="276"/>
        <w:jc w:val="both"/>
        <w:rPr>
          <w:color w:val="000000"/>
          <w:sz w:val="26"/>
          <w:szCs w:val="26"/>
        </w:rPr>
      </w:pPr>
      <w:r>
        <w:rPr>
          <w:color w:val="000000"/>
          <w:sz w:val="26"/>
          <w:szCs w:val="26"/>
        </w:rPr>
        <w:t xml:space="preserve">Hóa đơn tài chính hợp pháp, hợp lệ tương ứng với số tiền Bên A thanh toán thực tế đợt </w:t>
      </w:r>
      <w:r>
        <w:rPr>
          <w:sz w:val="26"/>
          <w:szCs w:val="26"/>
        </w:rPr>
        <w:t>2</w:t>
      </w:r>
      <w:r>
        <w:rPr>
          <w:color w:val="000000"/>
          <w:sz w:val="26"/>
          <w:szCs w:val="26"/>
        </w:rPr>
        <w:t xml:space="preserve">; </w:t>
      </w:r>
    </w:p>
    <w:p>
      <w:pPr>
        <w:pStyle w:val="Normal"/>
        <w:numPr>
          <w:ilvl w:val="2"/>
          <w:numId w:val="3"/>
        </w:numPr>
        <w:pBdr/>
        <w:tabs>
          <w:tab w:val="left" w:pos="540" w:leader="none"/>
          <w:tab w:val="left" w:pos="720" w:leader="none"/>
          <w:tab w:val="left" w:pos="1440" w:leader="none"/>
        </w:tabs>
        <w:spacing w:lineRule="auto" w:line="276"/>
        <w:jc w:val="both"/>
        <w:rPr>
          <w:color w:val="000000"/>
          <w:sz w:val="26"/>
          <w:szCs w:val="26"/>
        </w:rPr>
      </w:pPr>
      <w:r>
        <w:rPr>
          <w:color w:val="000000"/>
          <w:sz w:val="26"/>
          <w:szCs w:val="26"/>
        </w:rPr>
        <w:t>Biên bản nghiệm thu, thanh lý Hợp đồng được Hai Bên xác nhận.</w:t>
      </w:r>
    </w:p>
    <w:p>
      <w:pPr>
        <w:pStyle w:val="Normal"/>
        <w:numPr>
          <w:ilvl w:val="2"/>
          <w:numId w:val="3"/>
        </w:numPr>
        <w:pBdr/>
        <w:tabs>
          <w:tab w:val="left" w:pos="540" w:leader="none"/>
          <w:tab w:val="left" w:pos="720" w:leader="none"/>
          <w:tab w:val="left" w:pos="1440" w:leader="none"/>
        </w:tabs>
        <w:spacing w:lineRule="auto" w:line="276"/>
        <w:jc w:val="both"/>
        <w:rPr>
          <w:color w:val="000000"/>
          <w:sz w:val="26"/>
          <w:szCs w:val="26"/>
        </w:rPr>
      </w:pPr>
      <w:r>
        <w:rPr>
          <w:color w:val="000000"/>
          <w:sz w:val="26"/>
          <w:szCs w:val="26"/>
        </w:rPr>
        <w:t>Báo cáo chi phí thực tế (nếu có thay đổi trong hạng mục công việc và/hoặc giá trị Hạng mục so với thời điểm ký Hợp đồng) sẽ được xuất trình ngay sau khi Bên B hoàn tất toàn bộ Dịch vụ theo Hợp đồng và chỉnh sửa số liệu thanh toán dựa trên thực tế thực hiện Hợp đồng. Báo cáo chi phí thực tế phải được Hai Bên xác nhận đính kèm Biên bản nghiệm thu, thanh lý Hợp đồng.</w:t>
      </w:r>
    </w:p>
    <w:p>
      <w:pPr>
        <w:pStyle w:val="Normal"/>
        <w:numPr>
          <w:ilvl w:val="1"/>
          <w:numId w:val="2"/>
        </w:numPr>
        <w:pBdr/>
        <w:tabs>
          <w:tab w:val="clear" w:pos="720"/>
          <w:tab w:val="left" w:pos="540" w:leader="none"/>
        </w:tabs>
        <w:spacing w:lineRule="auto" w:line="276"/>
        <w:jc w:val="both"/>
        <w:rPr>
          <w:color w:val="000000"/>
          <w:sz w:val="26"/>
          <w:szCs w:val="26"/>
        </w:rPr>
      </w:pPr>
      <w:r>
        <w:rPr>
          <w:b/>
          <w:bCs/>
          <w:color w:val="000000"/>
          <w:sz w:val="26"/>
          <w:szCs w:val="26"/>
        </w:rPr>
        <w:t xml:space="preserve">Phương thức thanh toán: </w:t>
      </w:r>
      <w:r>
        <w:rPr>
          <w:color w:val="000000"/>
          <w:sz w:val="26"/>
          <w:szCs w:val="26"/>
        </w:rPr>
        <w:t xml:space="preserve">Chuyển khoản </w:t>
      </w:r>
    </w:p>
    <w:p>
      <w:pPr>
        <w:pStyle w:val="Normal"/>
        <w:numPr>
          <w:ilvl w:val="0"/>
          <w:numId w:val="7"/>
        </w:numPr>
        <w:pBdr/>
        <w:tabs>
          <w:tab w:val="clear" w:pos="720"/>
          <w:tab w:val="left" w:pos="540" w:leader="none"/>
        </w:tabs>
        <w:spacing w:lineRule="auto" w:line="276"/>
        <w:jc w:val="both"/>
        <w:rPr>
          <w:b/>
          <w:bCs/>
          <w:color w:val="000000"/>
          <w:sz w:val="26"/>
          <w:szCs w:val="26"/>
        </w:rPr>
      </w:pPr>
      <w:r>
        <w:rPr>
          <w:b/>
          <w:bCs/>
          <w:color w:val="000000"/>
          <w:sz w:val="26"/>
          <w:szCs w:val="26"/>
        </w:rPr>
        <w:t xml:space="preserve">Tài khoản: </w:t>
      </w:r>
      <w:r>
        <w:rPr>
          <w:color w:val="000000"/>
          <w:sz w:val="26"/>
          <w:szCs w:val="26"/>
        </w:rPr>
        <w:t>{provider.bankAccount} - tại ngân hàng {provider.bankName}</w:t>
      </w:r>
    </w:p>
    <w:p>
      <w:pPr>
        <w:pStyle w:val="Normal"/>
        <w:numPr>
          <w:ilvl w:val="0"/>
          <w:numId w:val="7"/>
        </w:numPr>
        <w:pBdr/>
        <w:tabs>
          <w:tab w:val="clear" w:pos="720"/>
          <w:tab w:val="left" w:pos="540" w:leader="none"/>
        </w:tabs>
        <w:spacing w:lineRule="auto" w:line="276"/>
        <w:jc w:val="both"/>
        <w:rPr>
          <w:color w:val="000000"/>
          <w:sz w:val="26"/>
          <w:szCs w:val="26"/>
        </w:rPr>
      </w:pPr>
      <w:r>
        <w:rPr>
          <w:b/>
          <w:bCs/>
          <w:color w:val="000000"/>
          <w:sz w:val="26"/>
          <w:szCs w:val="26"/>
        </w:rPr>
        <w:t>Đồng tiền thanh toán:</w:t>
      </w:r>
      <w:r>
        <w:rPr>
          <w:color w:val="000000"/>
          <w:sz w:val="26"/>
          <w:szCs w:val="26"/>
        </w:rPr>
        <w:t xml:space="preserve"> Việt Nam Đồng.</w:t>
      </w:r>
    </w:p>
    <w:p>
      <w:pPr>
        <w:pStyle w:val="Normal"/>
        <w:numPr>
          <w:ilvl w:val="0"/>
          <w:numId w:val="2"/>
        </w:numPr>
        <w:pBdr/>
        <w:spacing w:lineRule="auto" w:line="276"/>
        <w:jc w:val="both"/>
        <w:rPr>
          <w:b/>
          <w:bCs/>
          <w:color w:val="000000"/>
          <w:sz w:val="26"/>
          <w:szCs w:val="26"/>
        </w:rPr>
      </w:pPr>
      <w:r>
        <w:rPr>
          <w:b/>
          <w:bCs/>
          <w:color w:val="000000"/>
          <w:sz w:val="26"/>
          <w:szCs w:val="26"/>
        </w:rPr>
        <w:t>QUYỀN LỢI TRÁCH NHIỆM CỦA BÊN A</w:t>
      </w:r>
    </w:p>
    <w:p>
      <w:pPr>
        <w:pStyle w:val="Normal"/>
        <w:numPr>
          <w:ilvl w:val="1"/>
          <w:numId w:val="2"/>
        </w:numPr>
        <w:pBdr/>
        <w:spacing w:lineRule="auto" w:line="276"/>
        <w:jc w:val="both"/>
        <w:rPr>
          <w:b/>
          <w:bCs/>
          <w:color w:val="000000"/>
          <w:sz w:val="26"/>
          <w:szCs w:val="26"/>
        </w:rPr>
      </w:pPr>
      <w:r>
        <w:rPr>
          <w:b/>
          <w:bCs/>
          <w:color w:val="000000"/>
          <w:sz w:val="26"/>
          <w:szCs w:val="26"/>
        </w:rPr>
        <w:t>Quyền của Bên A</w:t>
      </w:r>
    </w:p>
    <w:p>
      <w:pPr>
        <w:pStyle w:val="Normal"/>
        <w:numPr>
          <w:ilvl w:val="2"/>
          <w:numId w:val="2"/>
        </w:numPr>
        <w:pBdr/>
        <w:spacing w:lineRule="auto" w:line="276"/>
        <w:jc w:val="both"/>
        <w:rPr>
          <w:color w:val="000000"/>
          <w:sz w:val="26"/>
          <w:szCs w:val="26"/>
        </w:rPr>
      </w:pPr>
      <w:r>
        <w:rPr>
          <w:color w:val="000000"/>
          <w:sz w:val="26"/>
          <w:szCs w:val="26"/>
        </w:rPr>
        <w:t xml:space="preserve">Kiểm tra, giám sát việc thực hiện Dịch vụ trong suốt thời gian thực hiện Hợp đồng này. </w:t>
      </w:r>
    </w:p>
    <w:p>
      <w:pPr>
        <w:pStyle w:val="Normal"/>
        <w:numPr>
          <w:ilvl w:val="2"/>
          <w:numId w:val="2"/>
        </w:numPr>
        <w:pBdr/>
        <w:spacing w:lineRule="auto" w:line="276"/>
        <w:jc w:val="both"/>
        <w:rPr>
          <w:color w:val="000000"/>
          <w:sz w:val="26"/>
          <w:szCs w:val="26"/>
        </w:rPr>
      </w:pPr>
      <w:r>
        <w:rPr>
          <w:color w:val="000000"/>
          <w:sz w:val="26"/>
          <w:szCs w:val="26"/>
        </w:rPr>
        <w:t>Yêu cầu Bên B chỉnh sửa làm cơ sở để Bên A phê duyệt tất cả nội dung chi tiết liên quan đến Dịch vụ bao gồm nhưng không giới hạn ở các hạng mục quy định chi tiết trong Phụ lục 01 của Hợp đồng này trước khi thực hiện.</w:t>
      </w:r>
    </w:p>
    <w:p>
      <w:pPr>
        <w:pStyle w:val="Normal"/>
        <w:numPr>
          <w:ilvl w:val="2"/>
          <w:numId w:val="2"/>
        </w:numPr>
        <w:pBdr/>
        <w:spacing w:lineRule="auto" w:line="276"/>
        <w:jc w:val="both"/>
        <w:rPr>
          <w:color w:val="000000"/>
          <w:sz w:val="26"/>
          <w:szCs w:val="26"/>
        </w:rPr>
      </w:pPr>
      <w:r>
        <w:rPr>
          <w:color w:val="000000"/>
          <w:sz w:val="26"/>
          <w:szCs w:val="26"/>
        </w:rPr>
        <w:t>Được quyền dừng thanh toán Dịch vụ trong trường hợp Bên B vi phạm nghĩa vụ được quy định tại Hợp đồng này.</w:t>
      </w:r>
    </w:p>
    <w:p>
      <w:pPr>
        <w:pStyle w:val="Normal"/>
        <w:numPr>
          <w:ilvl w:val="2"/>
          <w:numId w:val="2"/>
        </w:numPr>
        <w:pBdr/>
        <w:spacing w:lineRule="auto" w:line="276"/>
        <w:jc w:val="both"/>
        <w:rPr>
          <w:color w:val="000000"/>
          <w:sz w:val="26"/>
          <w:szCs w:val="26"/>
        </w:rPr>
      </w:pPr>
      <w:r>
        <w:rPr>
          <w:color w:val="000000"/>
          <w:sz w:val="26"/>
          <w:szCs w:val="26"/>
        </w:rPr>
        <w:t>Được yêu cầu bồi thường các thiệt hại do lỗi vi phạm Hợp đồng của Bên B (nếu có).</w:t>
      </w:r>
    </w:p>
    <w:p>
      <w:pPr>
        <w:pStyle w:val="Normal"/>
        <w:numPr>
          <w:ilvl w:val="1"/>
          <w:numId w:val="2"/>
        </w:numPr>
        <w:pBdr/>
        <w:spacing w:lineRule="auto" w:line="276"/>
        <w:jc w:val="both"/>
        <w:rPr>
          <w:b/>
          <w:bCs/>
          <w:color w:val="000000"/>
          <w:sz w:val="26"/>
          <w:szCs w:val="26"/>
        </w:rPr>
      </w:pPr>
      <w:r>
        <w:rPr>
          <w:b/>
          <w:bCs/>
          <w:color w:val="000000"/>
          <w:sz w:val="26"/>
          <w:szCs w:val="26"/>
        </w:rPr>
        <w:t>Trách nhiệm của Bên A</w:t>
      </w:r>
    </w:p>
    <w:p>
      <w:pPr>
        <w:pStyle w:val="Normal"/>
        <w:numPr>
          <w:ilvl w:val="2"/>
          <w:numId w:val="2"/>
        </w:numPr>
        <w:pBdr/>
        <w:spacing w:lineRule="auto" w:line="276"/>
        <w:jc w:val="both"/>
        <w:rPr>
          <w:color w:val="000000"/>
          <w:sz w:val="26"/>
          <w:szCs w:val="26"/>
        </w:rPr>
      </w:pPr>
      <w:r>
        <w:rPr>
          <w:color w:val="000000"/>
          <w:sz w:val="26"/>
          <w:szCs w:val="26"/>
        </w:rPr>
        <w:t>Thanh toán đầy đủ và đúng hạn cho Bên B theo Điều 3 của Hợp đồng</w:t>
      </w:r>
    </w:p>
    <w:p>
      <w:pPr>
        <w:pStyle w:val="Normal"/>
        <w:numPr>
          <w:ilvl w:val="2"/>
          <w:numId w:val="2"/>
        </w:numPr>
        <w:pBdr/>
        <w:spacing w:lineRule="auto" w:line="276"/>
        <w:jc w:val="both"/>
        <w:rPr>
          <w:color w:val="000000"/>
          <w:sz w:val="26"/>
          <w:szCs w:val="26"/>
        </w:rPr>
      </w:pPr>
      <w:bookmarkStart w:id="3" w:name="_heading=h.5d295lcif4zy"/>
      <w:bookmarkEnd w:id="3"/>
      <w:r>
        <w:rPr>
          <w:color w:val="000000"/>
          <w:sz w:val="26"/>
          <w:szCs w:val="26"/>
        </w:rPr>
        <w:t>Cung cấp tất cả các thông tin cần thiết cho Bên B cho mục đích cung cấp Dịch vụ.</w:t>
      </w:r>
    </w:p>
    <w:p>
      <w:pPr>
        <w:pStyle w:val="Normal"/>
        <w:numPr>
          <w:ilvl w:val="2"/>
          <w:numId w:val="2"/>
        </w:numPr>
        <w:pBdr/>
        <w:spacing w:lineRule="auto" w:line="276"/>
        <w:jc w:val="both"/>
        <w:rPr>
          <w:color w:val="000000"/>
          <w:sz w:val="26"/>
          <w:szCs w:val="26"/>
        </w:rPr>
      </w:pPr>
      <w:r>
        <w:rPr>
          <w:color w:val="000000"/>
          <w:sz w:val="26"/>
          <w:szCs w:val="26"/>
        </w:rPr>
        <w:t>Chỉ định đại diện giám sát, liên lạc, hướng dẫn hỗ trợ giải quyết công việc cùng với Bên B trong suốt quá trình thực hiện Hợp đồng.</w:t>
      </w:r>
    </w:p>
    <w:p>
      <w:pPr>
        <w:pStyle w:val="Normal"/>
        <w:numPr>
          <w:ilvl w:val="2"/>
          <w:numId w:val="2"/>
        </w:numPr>
        <w:pBdr/>
        <w:spacing w:lineRule="auto" w:line="276"/>
        <w:jc w:val="both"/>
        <w:rPr>
          <w:color w:val="000000"/>
          <w:sz w:val="26"/>
          <w:szCs w:val="26"/>
        </w:rPr>
      </w:pPr>
      <w:r>
        <w:rPr>
          <w:color w:val="000000"/>
          <w:sz w:val="26"/>
          <w:szCs w:val="26"/>
        </w:rPr>
        <w:t>Sắp xếp, bố trí và hỗ trợ Bên B trong việc liên hệ làm việc với các phòng, ban của Bên A và các đơn vị, tổ chức tham gia thực hiện Dịch vụ theo Hợp đồng này.</w:t>
      </w:r>
    </w:p>
    <w:p>
      <w:pPr>
        <w:pStyle w:val="Normal"/>
        <w:numPr>
          <w:ilvl w:val="2"/>
          <w:numId w:val="2"/>
        </w:numPr>
        <w:pBdr/>
        <w:spacing w:lineRule="auto" w:line="276"/>
        <w:jc w:val="both"/>
        <w:rPr>
          <w:color w:val="000000"/>
          <w:sz w:val="26"/>
          <w:szCs w:val="26"/>
        </w:rPr>
      </w:pPr>
      <w:r>
        <w:rPr>
          <w:color w:val="000000"/>
          <w:sz w:val="26"/>
          <w:szCs w:val="26"/>
        </w:rPr>
        <w:t>Bồi thường thiệt hại đối với những vi phạm tác quyền (nếu có) trực tiếp phát sinh do lỗi của Bên A.</w:t>
      </w:r>
    </w:p>
    <w:p>
      <w:pPr>
        <w:pStyle w:val="Normal"/>
        <w:numPr>
          <w:ilvl w:val="2"/>
          <w:numId w:val="2"/>
        </w:numPr>
        <w:pBdr/>
        <w:spacing w:lineRule="auto" w:line="276"/>
        <w:jc w:val="both"/>
        <w:rPr>
          <w:color w:val="000000"/>
          <w:sz w:val="26"/>
          <w:szCs w:val="26"/>
        </w:rPr>
      </w:pPr>
      <w:r>
        <w:rPr>
          <w:color w:val="000000"/>
          <w:sz w:val="26"/>
          <w:szCs w:val="26"/>
        </w:rPr>
        <w:t xml:space="preserve">Chịu trách nhiệm bồi thường những thiệt hại trực tiếp gây ra cho Bên B do Bên A vi phạm các điều khoản Hợp đồng này (nếu có). </w:t>
      </w:r>
    </w:p>
    <w:p>
      <w:pPr>
        <w:pStyle w:val="Normal"/>
        <w:numPr>
          <w:ilvl w:val="2"/>
          <w:numId w:val="2"/>
        </w:numPr>
        <w:pBdr/>
        <w:spacing w:lineRule="auto" w:line="276"/>
        <w:jc w:val="both"/>
        <w:rPr>
          <w:color w:val="000000"/>
          <w:sz w:val="26"/>
          <w:szCs w:val="26"/>
        </w:rPr>
      </w:pPr>
      <w:r>
        <w:rPr>
          <w:color w:val="000000"/>
          <w:sz w:val="26"/>
          <w:szCs w:val="26"/>
        </w:rPr>
        <w:t>Bên A cam kết sẽ giữ cho Bên B tránh khỏi và sẽ có trách nhiệm đối với các tổn thất, thiệt hại hoặc chi phí phát sinh (nếu có) nếu để xảy ra bất kỳ khiếu nại, khiếu kiện hoặc tranh chấp nào từ Bên thứ ba liên quan đến việc Bên B sử dụng các thông tin và tài liệu do Bên A cung cấp trong quá trình cung cấp Dịch vụ.</w:t>
      </w:r>
    </w:p>
    <w:p>
      <w:pPr>
        <w:pStyle w:val="Normal"/>
        <w:numPr>
          <w:ilvl w:val="2"/>
          <w:numId w:val="2"/>
        </w:numPr>
        <w:pBdr/>
        <w:spacing w:lineRule="auto" w:line="276"/>
        <w:jc w:val="both"/>
        <w:rPr>
          <w:color w:val="000000"/>
          <w:sz w:val="26"/>
          <w:szCs w:val="26"/>
        </w:rPr>
      </w:pPr>
      <w:r>
        <w:rPr>
          <w:color w:val="000000"/>
          <w:sz w:val="26"/>
          <w:szCs w:val="26"/>
        </w:rPr>
        <w:t>Chịu trách nhiệm tôn trọng và bảo mật đối với kịch bản do Bên B dàn dựng chưa được Bên A nghiệm thu.</w:t>
      </w:r>
    </w:p>
    <w:p>
      <w:pPr>
        <w:pStyle w:val="Normal"/>
        <w:numPr>
          <w:ilvl w:val="0"/>
          <w:numId w:val="2"/>
        </w:numPr>
        <w:pBdr/>
        <w:spacing w:lineRule="auto" w:line="276"/>
        <w:jc w:val="both"/>
        <w:rPr>
          <w:b/>
          <w:bCs/>
          <w:color w:val="000000"/>
          <w:sz w:val="26"/>
          <w:szCs w:val="26"/>
        </w:rPr>
      </w:pPr>
      <w:r>
        <w:rPr>
          <w:b/>
          <w:bCs/>
          <w:color w:val="000000"/>
          <w:sz w:val="26"/>
          <w:szCs w:val="26"/>
        </w:rPr>
        <w:t>QUYỀN LỢI VÀ TRÁCH NHIỆM CỦA BÊN B</w:t>
      </w:r>
    </w:p>
    <w:p>
      <w:pPr>
        <w:pStyle w:val="Normal"/>
        <w:numPr>
          <w:ilvl w:val="1"/>
          <w:numId w:val="2"/>
        </w:numPr>
        <w:pBdr/>
        <w:spacing w:lineRule="auto" w:line="276"/>
        <w:jc w:val="both"/>
        <w:rPr>
          <w:b/>
          <w:bCs/>
          <w:color w:val="000000"/>
          <w:sz w:val="26"/>
          <w:szCs w:val="26"/>
        </w:rPr>
      </w:pPr>
      <w:r>
        <w:rPr>
          <w:b/>
          <w:bCs/>
          <w:color w:val="000000"/>
          <w:sz w:val="26"/>
          <w:szCs w:val="26"/>
        </w:rPr>
        <w:t>Quyền của Bên B</w:t>
      </w:r>
    </w:p>
    <w:p>
      <w:pPr>
        <w:pStyle w:val="Normal"/>
        <w:numPr>
          <w:ilvl w:val="2"/>
          <w:numId w:val="2"/>
        </w:numPr>
        <w:pBdr/>
        <w:spacing w:lineRule="auto" w:line="276"/>
        <w:jc w:val="both"/>
        <w:rPr>
          <w:color w:val="000000"/>
          <w:sz w:val="26"/>
          <w:szCs w:val="26"/>
        </w:rPr>
      </w:pPr>
      <w:r>
        <w:rPr>
          <w:color w:val="000000"/>
          <w:sz w:val="26"/>
          <w:szCs w:val="26"/>
        </w:rPr>
        <w:t>Được nhận Phí Dịch vụ theo thỏa thuận tại Hợp đồng này.</w:t>
      </w:r>
    </w:p>
    <w:p>
      <w:pPr>
        <w:pStyle w:val="Normal"/>
        <w:numPr>
          <w:ilvl w:val="2"/>
          <w:numId w:val="2"/>
        </w:numPr>
        <w:pBdr/>
        <w:spacing w:lineRule="auto" w:line="276"/>
        <w:jc w:val="both"/>
        <w:rPr>
          <w:color w:val="000000"/>
          <w:sz w:val="26"/>
          <w:szCs w:val="26"/>
        </w:rPr>
      </w:pPr>
      <w:r>
        <w:rPr>
          <w:color w:val="000000"/>
          <w:sz w:val="26"/>
          <w:szCs w:val="26"/>
        </w:rPr>
        <w:t>Được yêu cầu bồi thường các thiệt hại trực tiếp do lỗi vi phạm Hợp đồng của Bên A (nếu có).</w:t>
      </w:r>
    </w:p>
    <w:p>
      <w:pPr>
        <w:pStyle w:val="Normal"/>
        <w:numPr>
          <w:ilvl w:val="2"/>
          <w:numId w:val="2"/>
        </w:numPr>
        <w:pBdr/>
        <w:spacing w:lineRule="auto" w:line="276"/>
        <w:jc w:val="both"/>
        <w:rPr>
          <w:color w:val="000000"/>
          <w:sz w:val="26"/>
          <w:szCs w:val="26"/>
        </w:rPr>
      </w:pPr>
      <w:r>
        <w:rPr>
          <w:color w:val="000000"/>
          <w:sz w:val="26"/>
          <w:szCs w:val="26"/>
        </w:rPr>
        <w:t>Yêu cầu Bên A thanh toán theo đúng giá trị và thời hạn đã quy định trong Hợp đồng.</w:t>
      </w:r>
    </w:p>
    <w:p>
      <w:pPr>
        <w:pStyle w:val="Normal"/>
        <w:numPr>
          <w:ilvl w:val="1"/>
          <w:numId w:val="2"/>
        </w:numPr>
        <w:pBdr/>
        <w:tabs>
          <w:tab w:val="left" w:pos="720" w:leader="none"/>
        </w:tabs>
        <w:spacing w:lineRule="auto" w:line="276"/>
        <w:jc w:val="both"/>
        <w:rPr>
          <w:b/>
          <w:bCs/>
          <w:color w:val="000000"/>
          <w:sz w:val="26"/>
          <w:szCs w:val="26"/>
        </w:rPr>
      </w:pPr>
      <w:r>
        <w:rPr>
          <w:b/>
          <w:bCs/>
          <w:color w:val="000000"/>
          <w:sz w:val="26"/>
          <w:szCs w:val="26"/>
        </w:rPr>
        <w:t>Trách nhiệm của Bên B</w:t>
      </w:r>
    </w:p>
    <w:p>
      <w:pPr>
        <w:pStyle w:val="Normal"/>
        <w:numPr>
          <w:ilvl w:val="2"/>
          <w:numId w:val="2"/>
        </w:numPr>
        <w:pBdr/>
        <w:spacing w:lineRule="auto" w:line="276"/>
        <w:jc w:val="both"/>
        <w:rPr>
          <w:color w:val="000000"/>
          <w:sz w:val="26"/>
          <w:szCs w:val="26"/>
        </w:rPr>
      </w:pPr>
      <w:r>
        <w:rPr>
          <w:color w:val="000000"/>
          <w:sz w:val="26"/>
          <w:szCs w:val="26"/>
        </w:rPr>
        <w:t>Cung cấp đầy đủ, đúng hạn các hạng mục thuộc Dịch vụ theo quy định tại Hợp đồng này và Phụ lục đính kèm; đảm bảo chất lượng, số lượng, quy cách, mô tả của sản phẩm Dịch vụ và Dịch vụ đáp ứng yêu cầu của Hợp đồng và thỏa thuận của hai Bên.</w:t>
      </w:r>
    </w:p>
    <w:p>
      <w:pPr>
        <w:pStyle w:val="Normal"/>
        <w:numPr>
          <w:ilvl w:val="2"/>
          <w:numId w:val="2"/>
        </w:numPr>
        <w:pBdr/>
        <w:spacing w:lineRule="auto" w:line="276"/>
        <w:jc w:val="both"/>
        <w:rPr>
          <w:color w:val="000000"/>
          <w:sz w:val="26"/>
          <w:szCs w:val="26"/>
        </w:rPr>
      </w:pPr>
      <w:r>
        <w:rPr>
          <w:color w:val="000000"/>
          <w:sz w:val="26"/>
          <w:szCs w:val="26"/>
        </w:rPr>
        <w:t>Tạo điều kiện để người đại diện của Bên A cùng tham gia giám sát và phối hợp với Bên B trong việc triển khai, thực hiện Dịch vụ.</w:t>
      </w:r>
    </w:p>
    <w:p>
      <w:pPr>
        <w:pStyle w:val="Normal"/>
        <w:numPr>
          <w:ilvl w:val="2"/>
          <w:numId w:val="2"/>
        </w:numPr>
        <w:pBdr/>
        <w:spacing w:lineRule="auto" w:line="276"/>
        <w:jc w:val="both"/>
        <w:rPr>
          <w:color w:val="000000"/>
          <w:sz w:val="26"/>
          <w:szCs w:val="26"/>
        </w:rPr>
      </w:pPr>
      <w:r>
        <w:rPr>
          <w:color w:val="000000"/>
          <w:sz w:val="26"/>
          <w:szCs w:val="26"/>
        </w:rPr>
        <w:t>Chịu trách nhiệm lập kế hoạch, lên nội dung, ý tưởng, kịch bản để triển khai Dịch vụ và trình Bên A phê duyệt trước khi thực hiện.</w:t>
      </w:r>
    </w:p>
    <w:p>
      <w:pPr>
        <w:pStyle w:val="Normal"/>
        <w:numPr>
          <w:ilvl w:val="2"/>
          <w:numId w:val="2"/>
        </w:numPr>
        <w:pBdr/>
        <w:spacing w:lineRule="auto" w:line="276"/>
        <w:jc w:val="both"/>
        <w:rPr>
          <w:color w:val="000000"/>
          <w:sz w:val="26"/>
          <w:szCs w:val="26"/>
        </w:rPr>
      </w:pPr>
      <w:r>
        <w:rPr>
          <w:color w:val="000000"/>
          <w:sz w:val="26"/>
          <w:szCs w:val="26"/>
        </w:rPr>
        <w:t>Tiến hành chỉnh sửa các nội dung chi tiết của từng hạng mục thuộc Dịch vụ theo yêu cầu của Bên A cho đến khi Bên A đồng ý phê duyệt trước khi tiến hành các hạng mục nêu tại Phụ lục 01 của Hợp đồng.</w:t>
      </w:r>
    </w:p>
    <w:p>
      <w:pPr>
        <w:pStyle w:val="Normal"/>
        <w:numPr>
          <w:ilvl w:val="2"/>
          <w:numId w:val="2"/>
        </w:numPr>
        <w:pBdr/>
        <w:spacing w:lineRule="auto" w:line="276"/>
        <w:jc w:val="both"/>
        <w:rPr>
          <w:color w:val="000000"/>
          <w:sz w:val="26"/>
          <w:szCs w:val="26"/>
        </w:rPr>
      </w:pPr>
      <w:r>
        <w:rPr>
          <w:color w:val="000000"/>
          <w:sz w:val="26"/>
          <w:szCs w:val="26"/>
        </w:rPr>
        <w:t>Báo cáo về tiến độ và kết quả thực hiện Dịch vụ trong giai đoạn chuẩn bị cho Bên A và cung cấp các tài liệu liên quan khi được Bên A yêu cầu.</w:t>
      </w:r>
    </w:p>
    <w:p>
      <w:pPr>
        <w:pStyle w:val="Normal"/>
        <w:numPr>
          <w:ilvl w:val="2"/>
          <w:numId w:val="2"/>
        </w:numPr>
        <w:pBdr/>
        <w:spacing w:lineRule="auto" w:line="276"/>
        <w:jc w:val="both"/>
        <w:rPr>
          <w:color w:val="000000"/>
          <w:sz w:val="26"/>
          <w:szCs w:val="26"/>
        </w:rPr>
      </w:pPr>
      <w:r>
        <w:rPr>
          <w:color w:val="000000"/>
          <w:sz w:val="26"/>
          <w:szCs w:val="26"/>
        </w:rPr>
        <w:t>Trong thời gian diễn ra các Sự kiện, Bên B có trách nhiệm ngay lập tức thông báo cho Bên A khi xảy ra các sự cố có thể làm ảnh hưởng đến việc thực hiện các hạng mục thuộc Dịch vụ đúng theo yêu cầu hoặc tiến độ như đã thỏa thuận giữa hai Bên để thảo luận, thống nhất giải pháp xử lí và tiến hành xử lý các sự cố trong thời gian hai (02) giờ kể từ khi phát sinh sự cố;</w:t>
      </w:r>
    </w:p>
    <w:p>
      <w:pPr>
        <w:pStyle w:val="Normal"/>
        <w:numPr>
          <w:ilvl w:val="2"/>
          <w:numId w:val="2"/>
        </w:numPr>
        <w:pBdr/>
        <w:spacing w:lineRule="auto" w:line="276"/>
        <w:jc w:val="both"/>
        <w:rPr>
          <w:color w:val="000000"/>
          <w:sz w:val="26"/>
          <w:szCs w:val="26"/>
        </w:rPr>
      </w:pPr>
      <w:r>
        <w:rPr>
          <w:color w:val="000000"/>
          <w:sz w:val="26"/>
          <w:szCs w:val="26"/>
        </w:rPr>
        <w:t>Bên B cam kết giữ cho Bên A không phải chịu bất kỳ trách nhiệm nào đối với các tổn thất, thiệt hại hoặc chi phí phát sinh từ khiếu nại, tranh chấp hoặc kiện tụng của bên thứ ba liên quan đến việc Bên B cung cấp dịch vụ cho Sự kiện, hoặc việc sử dụng, thuê, cung cấp hàng hóa từ bên thứ ba để thực hiện Hợp đồng này.</w:t>
        <w:br/>
        <w:t>Trường hợp Bên A phải trực tiếp tham gia giải quyết các tranh chấp hoặc khiếu nại nói trên, Bên B có trách nhiệm hoàn trả toàn bộ chi phí mà Bên A đã chi trả, bao gồm nhưng không giới hạn ở chi phí bồi thường, luật sư, tố tụng, xử lý khủng hoảng truyền thông và các khoản chi phí hợp lý khác (nếu có).</w:t>
      </w:r>
    </w:p>
    <w:p>
      <w:pPr>
        <w:pStyle w:val="Normal"/>
        <w:numPr>
          <w:ilvl w:val="2"/>
          <w:numId w:val="2"/>
        </w:numPr>
        <w:pBdr/>
        <w:spacing w:lineRule="auto" w:line="276"/>
        <w:jc w:val="both"/>
        <w:rPr>
          <w:color w:val="000000"/>
          <w:sz w:val="26"/>
          <w:szCs w:val="26"/>
        </w:rPr>
      </w:pPr>
      <w:r>
        <w:rPr>
          <w:color w:val="000000"/>
          <w:sz w:val="26"/>
          <w:szCs w:val="26"/>
        </w:rPr>
        <w:t>Cung cấp bản tóm tắt chi phí thực tế chính xác cho Bên A ngay sau khi hoàn tất cung cấp các hạng mục thuộc Dịch vụ theo Hợp đồng.</w:t>
      </w:r>
    </w:p>
    <w:p>
      <w:pPr>
        <w:pStyle w:val="Normal"/>
        <w:numPr>
          <w:ilvl w:val="2"/>
          <w:numId w:val="2"/>
        </w:numPr>
        <w:pBdr/>
        <w:spacing w:lineRule="auto" w:line="276"/>
        <w:jc w:val="both"/>
        <w:rPr>
          <w:color w:val="000000"/>
          <w:sz w:val="26"/>
          <w:szCs w:val="26"/>
        </w:rPr>
      </w:pPr>
      <w:bookmarkStart w:id="4" w:name="_heading=h.gjdgxs"/>
      <w:bookmarkEnd w:id="4"/>
      <w:r>
        <w:rPr>
          <w:color w:val="000000"/>
          <w:sz w:val="26"/>
          <w:szCs w:val="26"/>
        </w:rPr>
        <w:t>Thu dọn, di dời thiết bị, công cụ và phế liệu sau khi Sự kiện kết thúc theo Hợp đồng và tự chịu trách nhiệm với các hỏng hóc về thiết bị, công cụ sử dụng trong quá trình cung cấp Dịch vụ;</w:t>
      </w:r>
    </w:p>
    <w:p>
      <w:pPr>
        <w:pStyle w:val="Normal"/>
        <w:numPr>
          <w:ilvl w:val="0"/>
          <w:numId w:val="2"/>
        </w:numPr>
        <w:pBdr/>
        <w:spacing w:lineRule="auto" w:line="276" w:before="0" w:after="120"/>
        <w:jc w:val="both"/>
        <w:rPr/>
      </w:pPr>
      <w:r>
        <w:rPr>
          <w:b/>
          <w:bCs/>
          <w:color w:val="000000"/>
          <w:sz w:val="26"/>
          <w:szCs w:val="26"/>
        </w:rPr>
        <w:t>CHẤM DỨT HỢP ĐỒNG</w:t>
      </w:r>
    </w:p>
    <w:p>
      <w:pPr>
        <w:pStyle w:val="Heading2"/>
        <w:spacing w:before="120" w:after="120"/>
        <w:ind w:end="92"/>
        <w:rPr>
          <w:b w:val="false"/>
          <w:bCs w:val="false"/>
          <w:color w:val="333333"/>
        </w:rPr>
      </w:pPr>
      <w:bookmarkStart w:id="5" w:name="_heading=h.vn7wahp9r8rq"/>
      <w:bookmarkEnd w:id="5"/>
      <w:r>
        <w:rPr>
          <w:b w:val="false"/>
          <w:bCs w:val="false"/>
          <w:color w:val="333333"/>
        </w:rPr>
        <w:t xml:space="preserve">Hợp Đồng có thể chấm dứt theo một trong các trường hợp sau: </w:t>
      </w:r>
    </w:p>
    <w:p>
      <w:pPr>
        <w:pStyle w:val="Heading2"/>
        <w:keepLines/>
        <w:numPr>
          <w:ilvl w:val="0"/>
          <w:numId w:val="6"/>
        </w:numPr>
        <w:spacing w:lineRule="auto" w:line="276" w:before="120" w:after="120"/>
        <w:ind w:hanging="360" w:start="1080" w:end="92"/>
        <w:rPr>
          <w:b w:val="false"/>
          <w:bCs w:val="false"/>
          <w:color w:val="333333"/>
        </w:rPr>
      </w:pPr>
      <w:r>
        <w:rPr>
          <w:b w:val="false"/>
          <w:bCs w:val="false"/>
          <w:color w:val="333333"/>
        </w:rPr>
        <w:t>Hai Bên thỏa thuận chấm dứt Hợp Đồng này bằng văn bản;</w:t>
      </w:r>
    </w:p>
    <w:p>
      <w:pPr>
        <w:pStyle w:val="Heading2"/>
        <w:keepLines/>
        <w:numPr>
          <w:ilvl w:val="0"/>
          <w:numId w:val="6"/>
        </w:numPr>
        <w:spacing w:lineRule="auto" w:line="276" w:before="120" w:after="120"/>
        <w:ind w:hanging="360" w:start="1080" w:end="92"/>
        <w:rPr>
          <w:b w:val="false"/>
          <w:bCs w:val="false"/>
          <w:color w:val="333333"/>
        </w:rPr>
      </w:pPr>
      <w:r>
        <w:rPr>
          <w:b w:val="false"/>
          <w:bCs w:val="false"/>
          <w:color w:val="333333"/>
        </w:rPr>
        <w:t>Các Bên đã hoàn thành đầy đủ các nghĩa vụ của mình theo Hợp Đồng này và Hợp Đồng được tự động thanh lý;</w:t>
      </w:r>
    </w:p>
    <w:p>
      <w:pPr>
        <w:pStyle w:val="Heading2"/>
        <w:keepLines/>
        <w:numPr>
          <w:ilvl w:val="0"/>
          <w:numId w:val="6"/>
        </w:numPr>
        <w:spacing w:lineRule="auto" w:line="276" w:before="120" w:after="120"/>
        <w:ind w:hanging="360" w:start="1080" w:end="92"/>
        <w:rPr>
          <w:b w:val="false"/>
          <w:bCs w:val="false"/>
          <w:color w:val="333333"/>
        </w:rPr>
      </w:pPr>
      <w:r>
        <w:rPr>
          <w:b w:val="false"/>
          <w:bCs w:val="false"/>
          <w:color w:val="333333"/>
        </w:rPr>
        <w:t>Một Bên vi phạm nghĩa vụ theo thỏa thuận tại Hợp đồng này, đã được bên kia thông báo bằng văn bản/thư điện tử trong vòng 15 ngày kể từ ngày nhận được thông báo mà không sửa chữa, khắc phục được sẽ được xem là vi phạm hợp đồng. Bên gửi thông báo được quyền đơn phương chấm dứt hợp đồng. Bên cạnh đó, bên vi phạm sẽ bị xử lý theo quy định tại Điều 8;</w:t>
      </w:r>
    </w:p>
    <w:p>
      <w:pPr>
        <w:pStyle w:val="Heading2"/>
        <w:keepLines/>
        <w:numPr>
          <w:ilvl w:val="0"/>
          <w:numId w:val="6"/>
        </w:numPr>
        <w:spacing w:lineRule="auto" w:line="276" w:before="120" w:after="120"/>
        <w:ind w:hanging="360" w:start="1080" w:end="92"/>
        <w:rPr>
          <w:b w:val="false"/>
          <w:bCs w:val="false"/>
          <w:color w:val="333333"/>
        </w:rPr>
      </w:pPr>
      <w:r>
        <w:rPr>
          <w:b w:val="false"/>
          <w:bCs w:val="false"/>
          <w:color w:val="333333"/>
        </w:rPr>
        <w:t>ưMột trong hai bên buộc phải giải thể, phá sản theo quyết định của Cơ quan Nhà nước có thẩm quyền.</w:t>
      </w:r>
    </w:p>
    <w:p>
      <w:pPr>
        <w:pStyle w:val="Normal"/>
        <w:numPr>
          <w:ilvl w:val="0"/>
          <w:numId w:val="6"/>
        </w:numPr>
        <w:pBdr/>
        <w:spacing w:lineRule="auto" w:line="278"/>
        <w:jc w:val="both"/>
        <w:rPr>
          <w:color w:val="000000"/>
          <w:sz w:val="26"/>
          <w:szCs w:val="26"/>
        </w:rPr>
      </w:pPr>
      <w:r>
        <w:rPr>
          <w:color w:val="000000"/>
          <w:sz w:val="26"/>
          <w:szCs w:val="26"/>
        </w:rPr>
        <w:t>Trong trường hợp một trong hai bên đơn phương chấm dứt Hợp Đồng này trước thời hạn mà không có lý do chính đáng, bên đơn phương chấm dứt hợp đồng sẽ phải thanh toán 100% phí Dịch vụ của hợp đồng cũng như bồi thường toàn bộ thiệt hại (nếu có).</w:t>
      </w:r>
    </w:p>
    <w:p>
      <w:pPr>
        <w:pStyle w:val="Normal"/>
        <w:numPr>
          <w:ilvl w:val="0"/>
          <w:numId w:val="2"/>
        </w:numPr>
        <w:pBdr/>
        <w:spacing w:lineRule="auto" w:line="276"/>
        <w:jc w:val="both"/>
        <w:rPr/>
      </w:pPr>
      <w:r>
        <w:rPr>
          <w:b/>
          <w:bCs/>
          <w:color w:val="000000"/>
          <w:sz w:val="26"/>
          <w:szCs w:val="26"/>
        </w:rPr>
        <w:t>BẤT KHẢ KHÁNG</w:t>
      </w:r>
    </w:p>
    <w:p>
      <w:pPr>
        <w:pStyle w:val="Normal"/>
        <w:numPr>
          <w:ilvl w:val="1"/>
          <w:numId w:val="2"/>
        </w:numPr>
        <w:pBdr/>
        <w:spacing w:lineRule="auto" w:line="276"/>
        <w:jc w:val="both"/>
        <w:rPr>
          <w:color w:val="000000"/>
          <w:sz w:val="26"/>
          <w:szCs w:val="26"/>
        </w:rPr>
      </w:pPr>
      <w:bookmarkStart w:id="6" w:name="_heading=h.wlu40xnk465w"/>
      <w:bookmarkEnd w:id="6"/>
      <w:r>
        <w:rPr>
          <w:color w:val="000000"/>
          <w:sz w:val="26"/>
          <w:szCs w:val="26"/>
        </w:rPr>
        <w:t>Sự kiện bất khả kháng được quy định bao gồm nhưng không giới hạn ở: luật pháp hiện tại hoặc tương lai thay đổi tác động đến các điều khoản hợp đồng, quy định hoặc mệnh lệnh từ các cấp có thẩm quyền can thiệp vào sự kiện hoặc hợp đồng, thiên tai, động đất, sóng thần, lũ lụt, mưa lớn, hỏa hoạn, dịch bệnh, tai nạn, vụ nổ, thương vong, tranh chấp lao động (bao gồm nhưng không giới hạn ở việc đe dọa hoặc đình công tại xưởng làm việc, tẩy chay hoặc đình công ở khu vực gần xưởng), bạo loạn, xáo trộn dân sự, xung đột chiến tranh hoặc vũ trang, chậm trễ của hãng chuyên chở công cộng hoặc hãng chuyên chở quốc tế.</w:t>
      </w:r>
    </w:p>
    <w:p>
      <w:pPr>
        <w:pStyle w:val="Normal"/>
        <w:numPr>
          <w:ilvl w:val="1"/>
          <w:numId w:val="2"/>
        </w:numPr>
        <w:pBdr/>
        <w:spacing w:lineRule="auto" w:line="276"/>
        <w:jc w:val="both"/>
        <w:rPr>
          <w:color w:val="000000"/>
          <w:sz w:val="26"/>
          <w:szCs w:val="26"/>
        </w:rPr>
      </w:pPr>
      <w:bookmarkStart w:id="7" w:name="_heading=h.rehwlgkaiyut"/>
      <w:bookmarkEnd w:id="7"/>
      <w:r>
        <w:rPr>
          <w:color w:val="000000"/>
          <w:sz w:val="26"/>
          <w:szCs w:val="26"/>
        </w:rPr>
        <w:t>Khi sự kiện bất khả kháng tác động đến một trong hai Bên hoặc cả hai Bên, việc thực hiện các nghĩa vụ bị ảnh hưởng sẽ được tạm ngừng trong thời gian xảy ra sự kiện bất khả kháng và không bị coi là vi phạm Hợp đồng này.</w:t>
      </w:r>
    </w:p>
    <w:p>
      <w:pPr>
        <w:pStyle w:val="Normal"/>
        <w:numPr>
          <w:ilvl w:val="1"/>
          <w:numId w:val="2"/>
        </w:numPr>
        <w:pBdr/>
        <w:spacing w:lineRule="auto" w:line="276"/>
        <w:jc w:val="both"/>
        <w:rPr>
          <w:color w:val="000000"/>
          <w:sz w:val="26"/>
          <w:szCs w:val="26"/>
        </w:rPr>
      </w:pPr>
      <w:bookmarkStart w:id="8" w:name="_heading=h.cku1yr7o7jnf"/>
      <w:bookmarkEnd w:id="8"/>
      <w:r>
        <w:rPr>
          <w:color w:val="000000"/>
          <w:sz w:val="26"/>
          <w:szCs w:val="26"/>
        </w:rPr>
        <w:t>Nếu Sự kiện bị hủy toàn bộ hoặc một phần do sự kiện bất khả kháng, cả hai Bên sẽ được giải phóng khỏi nghĩa vụ tương ứng của mình. Trong trường hợp này, hai Bên sẽ thỏa thuận trách nhiệm đối với Bên B về tất cả các chi phí thực sự phát sinh mà Bên B đã phải gánh chịu đối với các nghĩa vụ đã thực hiện theo thỏa thuận này cho đến ngày thông báo hủy toàn bộ hoặc phần còn lại của Sự kiện.</w:t>
      </w:r>
    </w:p>
    <w:p>
      <w:pPr>
        <w:pStyle w:val="Normal"/>
        <w:numPr>
          <w:ilvl w:val="1"/>
          <w:numId w:val="2"/>
        </w:numPr>
        <w:pBdr/>
        <w:spacing w:lineRule="auto" w:line="276"/>
        <w:jc w:val="both"/>
        <w:rPr>
          <w:color w:val="000000"/>
          <w:sz w:val="26"/>
          <w:szCs w:val="26"/>
        </w:rPr>
      </w:pPr>
      <w:bookmarkStart w:id="9" w:name="_heading=h.gxsi96cb79iw"/>
      <w:bookmarkEnd w:id="9"/>
      <w:r>
        <w:rPr>
          <w:color w:val="000000"/>
          <w:sz w:val="26"/>
          <w:szCs w:val="26"/>
        </w:rPr>
        <w:t>Trong mọi trường hợp liên quan đến bất khả kháng, hai Bên thống nhất sẽ phối hợp chặt chẽ để đảm bảo kết quả Dịch vụ, khắc phục thiệt hại của nhau và đảm bảo giữ gìn uy tín của nhau trước cộng đồng.</w:t>
      </w:r>
    </w:p>
    <w:p>
      <w:pPr>
        <w:pStyle w:val="Normal"/>
        <w:numPr>
          <w:ilvl w:val="0"/>
          <w:numId w:val="2"/>
        </w:numPr>
        <w:pBdr/>
        <w:spacing w:lineRule="auto" w:line="276"/>
        <w:jc w:val="both"/>
        <w:rPr>
          <w:b/>
          <w:bCs/>
          <w:color w:val="000000"/>
          <w:sz w:val="26"/>
          <w:szCs w:val="26"/>
        </w:rPr>
      </w:pPr>
      <w:bookmarkStart w:id="10" w:name="_heading=h.tzf1no1kgf31"/>
      <w:bookmarkEnd w:id="10"/>
      <w:r>
        <w:rPr>
          <w:b/>
          <w:bCs/>
          <w:color w:val="000000"/>
          <w:sz w:val="26"/>
          <w:szCs w:val="26"/>
        </w:rPr>
        <w:t>BỒI THƯỜNG VÀ PHẠT VI PHẠM HỢP ĐỒNG</w:t>
      </w:r>
    </w:p>
    <w:p>
      <w:pPr>
        <w:pStyle w:val="Normal"/>
        <w:numPr>
          <w:ilvl w:val="1"/>
          <w:numId w:val="2"/>
        </w:numPr>
        <w:pBdr/>
        <w:spacing w:lineRule="auto" w:line="276"/>
        <w:jc w:val="both"/>
        <w:rPr>
          <w:color w:val="000000"/>
          <w:sz w:val="26"/>
          <w:szCs w:val="26"/>
        </w:rPr>
      </w:pPr>
      <w:bookmarkStart w:id="11" w:name="_heading=h.q3modbfd8oqc"/>
      <w:bookmarkEnd w:id="11"/>
      <w:r>
        <w:rPr>
          <w:color w:val="000000"/>
          <w:sz w:val="26"/>
          <w:szCs w:val="26"/>
        </w:rPr>
        <w:t>Một trong Hai bên không thực hiện đúng các nghĩa vụ của mình được thỏa thuận tại Hợp Đồng này đều bị xem là vi phạm Hợp Đồng và phải chịu phạt là 8% giá trị phần bị vi phạm. (Trừ trường hợp đơn phương chấm dứt hợp đồng thì áp dụng theo quy định tại Điều 6) Bên cạnh đó, Bên vi phạm còn phải chịu trách nhiệm bồi thường toàn bộ thiệt hại thực tế phát sinh mà Bên bị vi phạm phải gánh chịu, trừ trường hợp do Sự kiện bất khả kháng hoặc do lỗi của bên còn lại.</w:t>
      </w:r>
    </w:p>
    <w:p>
      <w:pPr>
        <w:pStyle w:val="Normal"/>
        <w:numPr>
          <w:ilvl w:val="1"/>
          <w:numId w:val="2"/>
        </w:numPr>
        <w:pBdr/>
        <w:spacing w:lineRule="auto" w:line="276"/>
        <w:jc w:val="both"/>
        <w:rPr>
          <w:color w:val="000000"/>
          <w:sz w:val="26"/>
          <w:szCs w:val="26"/>
        </w:rPr>
      </w:pPr>
      <w:r>
        <w:rPr>
          <w:color w:val="000000"/>
          <w:sz w:val="26"/>
          <w:szCs w:val="26"/>
        </w:rPr>
        <w:t>Bên vi phạm có nghĩa vụ nộp tiền phạt vi phạm và/hoặc bồi thường thiệt hại cho Bên kia trong thời hạn 10 (mười) ngày kể từ ngày nhận được Thông báo "Đề nghị thanh toán tiền phạt và/hoặc bồi thường thiệt hại". Trong trường hợp chậm nộp tiền phạt vi phạm và/hoặc bồi thường thiệt hại, Bên có nghĩa vụ thanh toán thêm tiền lãi suất chậm trả tương ứng với thời gian chậm nộp theo quy định pháp luật hiện hành.</w:t>
      </w:r>
    </w:p>
    <w:p>
      <w:pPr>
        <w:pStyle w:val="Normal"/>
        <w:numPr>
          <w:ilvl w:val="1"/>
          <w:numId w:val="2"/>
        </w:numPr>
        <w:pBdr/>
        <w:spacing w:lineRule="auto" w:line="276"/>
        <w:jc w:val="both"/>
        <w:rPr>
          <w:color w:val="000000"/>
          <w:sz w:val="26"/>
          <w:szCs w:val="26"/>
        </w:rPr>
      </w:pPr>
      <w:r>
        <w:rPr>
          <w:color w:val="000000"/>
          <w:sz w:val="26"/>
          <w:szCs w:val="26"/>
        </w:rPr>
        <w:t>Trong mọi trường hợp, nếu có bất kỳ việc khiếu nại, tranh chấp phát sinh liên quan đến Hợp Đồng này, thì Các Bên đồng ý, thống nhất và đảm bảo rằng một phần và/hoặc toàn bộ trách nhiệm của Bên B sẽ không vượt quá mức Phí dịch vụ mà Bên B nhận được theo Hợp Đồng này.</w:t>
      </w:r>
    </w:p>
    <w:p>
      <w:pPr>
        <w:pStyle w:val="Normal"/>
        <w:numPr>
          <w:ilvl w:val="0"/>
          <w:numId w:val="2"/>
        </w:numPr>
        <w:pBdr/>
        <w:spacing w:lineRule="auto" w:line="276"/>
        <w:jc w:val="both"/>
        <w:rPr>
          <w:b/>
          <w:bCs/>
          <w:color w:val="000000"/>
          <w:sz w:val="26"/>
          <w:szCs w:val="26"/>
        </w:rPr>
      </w:pPr>
      <w:r>
        <w:rPr>
          <w:b/>
          <w:bCs/>
          <w:color w:val="000000"/>
          <w:sz w:val="26"/>
          <w:szCs w:val="26"/>
        </w:rPr>
        <w:t>BẢO MẬT THÔNG TIN</w:t>
      </w:r>
    </w:p>
    <w:p>
      <w:pPr>
        <w:pStyle w:val="Normal"/>
        <w:numPr>
          <w:ilvl w:val="1"/>
          <w:numId w:val="2"/>
        </w:numPr>
        <w:pBdr/>
        <w:spacing w:lineRule="auto" w:line="276"/>
        <w:jc w:val="both"/>
        <w:rPr>
          <w:color w:val="000000"/>
          <w:sz w:val="26"/>
          <w:szCs w:val="26"/>
        </w:rPr>
      </w:pPr>
      <w:r>
        <w:rPr>
          <w:color w:val="000000"/>
          <w:sz w:val="26"/>
          <w:szCs w:val="26"/>
        </w:rPr>
        <w:t>Các Bên thoả thuận và đảm bảo rằng mỗi Bên phải có trách nhiệm bảo mật và giữ kín tất cả các thông tin được cung cấp bởi một Bên (Bên cung cấp thông tin) đến Bên còn lại (Bên tiếp nhận) và theo đó các thông tin này sẽ không được tiết lộ cho bất kỳ bên thứ ba nào khác mà không có sự chấp thuận trước bằng văn bản của Bên cung cấp thông tin ngoại trừ việc cung cấp thông tin là nhằm mục đích thực hiện Hợp Đồng này hoặc theo lệnh, quyết định của cơ quan Nhà nước có thẩm quyền.</w:t>
      </w:r>
    </w:p>
    <w:p>
      <w:pPr>
        <w:pStyle w:val="Normal"/>
        <w:numPr>
          <w:ilvl w:val="1"/>
          <w:numId w:val="2"/>
        </w:numPr>
        <w:pBdr/>
        <w:spacing w:lineRule="auto" w:line="276" w:before="0" w:after="120"/>
        <w:jc w:val="both"/>
        <w:rPr>
          <w:color w:val="000000"/>
          <w:sz w:val="26"/>
          <w:szCs w:val="26"/>
        </w:rPr>
      </w:pPr>
      <w:r>
        <w:rPr>
          <w:color w:val="000000"/>
          <w:sz w:val="26"/>
          <w:szCs w:val="26"/>
        </w:rPr>
        <w:t>Hiệu lực và giới hạn của điều khoản bảo mật:</w:t>
      </w:r>
    </w:p>
    <w:p>
      <w:pPr>
        <w:pStyle w:val="Normal"/>
        <w:numPr>
          <w:ilvl w:val="0"/>
          <w:numId w:val="4"/>
        </w:numPr>
        <w:spacing w:lineRule="auto" w:line="278"/>
        <w:jc w:val="both"/>
        <w:rPr>
          <w:sz w:val="26"/>
          <w:szCs w:val="26"/>
        </w:rPr>
      </w:pPr>
      <w:r>
        <w:rPr>
          <w:sz w:val="26"/>
          <w:szCs w:val="26"/>
        </w:rPr>
        <w:t>Hiệu lực kéo dài: Nghĩa vụ bảo mật theo quy định này sẽ tiếp tục có hiệu lực vô thời hạn sau khi Hợp đồng kết thúc hoặc chấm dứt vì bất kỳ lý do gì.</w:t>
      </w:r>
    </w:p>
    <w:p>
      <w:pPr>
        <w:pStyle w:val="Normal"/>
        <w:numPr>
          <w:ilvl w:val="0"/>
          <w:numId w:val="4"/>
        </w:numPr>
        <w:spacing w:lineRule="auto" w:line="278"/>
        <w:jc w:val="both"/>
        <w:rPr>
          <w:sz w:val="26"/>
          <w:szCs w:val="26"/>
        </w:rPr>
      </w:pPr>
      <w:r>
        <w:rPr>
          <w:sz w:val="26"/>
          <w:szCs w:val="26"/>
        </w:rPr>
        <w:t>Ngoại lệ của nghĩa vụ bảo mật: Các Bên không phải bảo mật đối với các thông tin thuộc một trong các trường hợp sau:</w:t>
      </w:r>
    </w:p>
    <w:p>
      <w:pPr>
        <w:pStyle w:val="Normal"/>
        <w:numPr>
          <w:ilvl w:val="0"/>
          <w:numId w:val="5"/>
        </w:numPr>
        <w:spacing w:lineRule="auto" w:line="278"/>
        <w:jc w:val="both"/>
        <w:rPr>
          <w:sz w:val="26"/>
          <w:szCs w:val="26"/>
        </w:rPr>
      </w:pPr>
      <w:r>
        <w:rPr>
          <w:sz w:val="26"/>
          <w:szCs w:val="26"/>
        </w:rPr>
        <w:t>Thông tin đã được công bố công khai hoặc đã phổ biến rộng rãi không phải do lỗi của Bên tiếp nhận thông tin; hoặc</w:t>
      </w:r>
    </w:p>
    <w:p>
      <w:pPr>
        <w:pStyle w:val="Normal"/>
        <w:numPr>
          <w:ilvl w:val="0"/>
          <w:numId w:val="5"/>
        </w:numPr>
        <w:spacing w:lineRule="auto" w:line="278" w:before="0" w:after="160"/>
        <w:jc w:val="both"/>
        <w:rPr>
          <w:sz w:val="26"/>
          <w:szCs w:val="26"/>
        </w:rPr>
      </w:pPr>
      <w:r>
        <w:rPr>
          <w:sz w:val="26"/>
          <w:szCs w:val="26"/>
        </w:rPr>
        <w:t>Thông tin phải cung cấp theo yêu cầu của cơ quan nhà nước có thẩm quyền theo quy định pháp luật.</w:t>
      </w:r>
    </w:p>
    <w:p>
      <w:pPr>
        <w:pStyle w:val="Normal"/>
        <w:numPr>
          <w:ilvl w:val="1"/>
          <w:numId w:val="2"/>
        </w:numPr>
        <w:pBdr/>
        <w:spacing w:lineRule="auto" w:line="276" w:before="120" w:after="0"/>
        <w:jc w:val="both"/>
        <w:rPr>
          <w:color w:val="000000"/>
          <w:sz w:val="26"/>
          <w:szCs w:val="26"/>
        </w:rPr>
      </w:pPr>
      <w:r>
        <w:rPr>
          <w:color w:val="000000"/>
          <w:sz w:val="26"/>
          <w:szCs w:val="26"/>
        </w:rPr>
        <w:t>Nghĩa vụ thông báo: Trong trường hợp Bên tiếp nhận thông tin phải tiết lộ thông tin bảo mật theo yêu cầu của cơ quan nhà nước có thẩm quyền, Bên đó phải thông báo bằng văn bản cho Bên cung cấp thông tin trước khi tiết lộ, nêu rõ lý do, phạm vi thông tin cần tiết lộ và cơ quan yêu cầu tiết lộ.13.3. Các Bên cam kết sẽ tuân thủ các quy định pháp luật về bảo vệ dữ liệu cá nhân được quy định tại Nghị định 13/2023/NĐ-CP ngày 17/04/2023 (và các văn bản hướng dẫn, sửa đổi, bổ sung, thay thế khác (nếu có)) cùng các văn bản pháp luật có liên quan. Đồng thời, các Bên cam kết sẽ trao đổi, thương lượng và/hoặc đồng ý ký kết (các) văn bản, Phụ lục Hợp đồng để điều chỉnh các nội dung liên quan đến việc bảo vệ Dữ liệu cá nhân theo (các) đề xuất, yêu cầu từ Bên còn lại vào mọi thời điểm trong quá trình thực hiện Hợp đồng để đảm bảo tuân thủ quy định pháp luật. Trường hợp Bên nào không tuân thủ các cam kết này, được xem là Bên đó đã vi phạm Hợp đồng và phải chịu hoàn toàn trách nhiệm theo quy định cho các vi phạm do mình gây ra. Bên còn lại có quyền đơn phương chấm dứt Hợp Đồng và các Phụ lục Hợp Đồng ngay lập tức.</w:t>
      </w:r>
    </w:p>
    <w:p>
      <w:pPr>
        <w:pStyle w:val="Normal"/>
        <w:numPr>
          <w:ilvl w:val="1"/>
          <w:numId w:val="2"/>
        </w:numPr>
        <w:pBdr/>
        <w:spacing w:lineRule="auto" w:line="276"/>
        <w:jc w:val="both"/>
        <w:rPr>
          <w:color w:val="000000"/>
          <w:sz w:val="26"/>
          <w:szCs w:val="26"/>
        </w:rPr>
      </w:pPr>
      <w:r>
        <w:rPr>
          <w:color w:val="000000"/>
          <w:sz w:val="26"/>
          <w:szCs w:val="26"/>
        </w:rPr>
        <w:t>Để làm rõ, việc Hai Bên không hoàn thành việc giao kết các văn bản, Phụ lục trong thời hạn đã cam kết mà xuất phát từ lỗi của Một Bên thì được xem là hành vi vi phạm Hợp đồng của Bên đó. Khi đó, Bên còn lại có quyền được miễn trừ trách nhiệm.</w:t>
      </w:r>
    </w:p>
    <w:p>
      <w:pPr>
        <w:pStyle w:val="Normal"/>
        <w:numPr>
          <w:ilvl w:val="0"/>
          <w:numId w:val="2"/>
        </w:numPr>
        <w:pBdr/>
        <w:spacing w:lineRule="auto" w:line="276"/>
        <w:jc w:val="both"/>
        <w:rPr/>
      </w:pPr>
      <w:r>
        <w:rPr>
          <w:b/>
          <w:bCs/>
          <w:color w:val="000000"/>
          <w:sz w:val="26"/>
          <w:szCs w:val="26"/>
        </w:rPr>
        <w:t xml:space="preserve"> </w:t>
      </w:r>
      <w:r>
        <w:rPr>
          <w:b/>
          <w:bCs/>
          <w:color w:val="000000"/>
          <w:sz w:val="26"/>
          <w:szCs w:val="26"/>
        </w:rPr>
        <w:t>GIẢI QUYẾT TRANH CHẤP HỢP ĐỒNG</w:t>
      </w:r>
    </w:p>
    <w:p>
      <w:pPr>
        <w:pStyle w:val="Normal"/>
        <w:numPr>
          <w:ilvl w:val="1"/>
          <w:numId w:val="2"/>
        </w:numPr>
        <w:pBdr/>
        <w:spacing w:lineRule="auto" w:line="276"/>
        <w:jc w:val="both"/>
        <w:rPr>
          <w:color w:val="000000"/>
          <w:sz w:val="26"/>
          <w:szCs w:val="26"/>
        </w:rPr>
      </w:pPr>
      <w:r>
        <w:rPr>
          <w:color w:val="000000"/>
          <w:sz w:val="26"/>
          <w:szCs w:val="26"/>
        </w:rPr>
        <w:t>Trong quá trình thực hiện Hợp Đồng hai Bên cần chủ động thông báo cho nhau biết tiến độ thực hiện Hợp Đồng, nếu có vấn đề bất lợi phát sinh hoặc xảy ra tranh chấp, các Bên phải kịp thời thông báo bằng văn bản cho nhau biết và phải chủ động bàn bạc giải quyết trên cơ sở thương lượng, tôn trọng quyền và lợi ích hợp pháp của các Bên;</w:t>
      </w:r>
    </w:p>
    <w:p>
      <w:pPr>
        <w:pStyle w:val="Normal"/>
        <w:numPr>
          <w:ilvl w:val="1"/>
          <w:numId w:val="2"/>
        </w:numPr>
        <w:pBdr/>
        <w:spacing w:lineRule="auto" w:line="276"/>
        <w:jc w:val="both"/>
        <w:rPr>
          <w:color w:val="000000"/>
          <w:sz w:val="26"/>
          <w:szCs w:val="26"/>
        </w:rPr>
      </w:pPr>
      <w:r>
        <w:rPr>
          <w:color w:val="000000"/>
          <w:sz w:val="26"/>
          <w:szCs w:val="26"/>
        </w:rPr>
        <w:t>Trong quá trình thực hiện Hợp đồng này, nếu có bất kỳ tranh chấp, mâu thuẫn nào phát sinh từ hoặc liên quan đến Hợp đồng, Các Bên trước hết sẽ nỗ lực cùng nhau thương lượng, thảo luận giải quyết trên tinh thần đôi bên đều có lợi. Trường hợp Các Bên không thể giải quyết được các tranh chấp, mâu thuẫn đó trên tinh thần thiện chí trong vòng 30 (ba mươi) ngày kể từ khi một Bên đề cập vấn đề cho Bên kia bằng văn bản, Các Bên đồng ý rằng vụ việc, tranh chấp sẽ được giải quyết tại Tòa án nhân dân có thẩm quyền theo quy định của pháp luật.</w:t>
      </w:r>
    </w:p>
    <w:p>
      <w:pPr>
        <w:pStyle w:val="Normal"/>
        <w:numPr>
          <w:ilvl w:val="0"/>
          <w:numId w:val="2"/>
        </w:numPr>
        <w:pBdr/>
        <w:spacing w:lineRule="auto" w:line="276"/>
        <w:jc w:val="both"/>
        <w:rPr>
          <w:b/>
          <w:bCs/>
          <w:color w:val="000000"/>
          <w:sz w:val="26"/>
          <w:szCs w:val="26"/>
        </w:rPr>
      </w:pPr>
      <w:r>
        <w:rPr>
          <w:b/>
          <w:bCs/>
          <w:color w:val="000000"/>
          <w:sz w:val="26"/>
          <w:szCs w:val="26"/>
        </w:rPr>
        <w:t xml:space="preserve"> </w:t>
      </w:r>
      <w:r>
        <w:rPr>
          <w:b/>
          <w:bCs/>
          <w:color w:val="000000"/>
          <w:sz w:val="26"/>
          <w:szCs w:val="26"/>
        </w:rPr>
        <w:t>ĐIỀU KHOẢN CHUNG</w:t>
      </w:r>
    </w:p>
    <w:p>
      <w:pPr>
        <w:pStyle w:val="Normal"/>
        <w:numPr>
          <w:ilvl w:val="1"/>
          <w:numId w:val="2"/>
        </w:numPr>
        <w:pBdr/>
        <w:spacing w:lineRule="auto" w:line="276"/>
        <w:jc w:val="both"/>
        <w:rPr>
          <w:color w:val="000000"/>
          <w:sz w:val="26"/>
          <w:szCs w:val="26"/>
        </w:rPr>
      </w:pPr>
      <w:r>
        <w:rPr>
          <w:color w:val="000000"/>
          <w:sz w:val="26"/>
          <w:szCs w:val="26"/>
        </w:rPr>
        <w:t>Hợp Đồng này và những phụ lục kèm theo tạo thành một chỉnh thể thống nhất, không tách rời và thay thế tất cả thỏa thuận trước đây bằng miệng hoặc bằng văn bản giữa các Bên.</w:t>
      </w:r>
    </w:p>
    <w:p>
      <w:pPr>
        <w:pStyle w:val="Normal"/>
        <w:numPr>
          <w:ilvl w:val="1"/>
          <w:numId w:val="2"/>
        </w:numPr>
        <w:pBdr/>
        <w:spacing w:lineRule="auto" w:line="276"/>
        <w:jc w:val="both"/>
        <w:rPr>
          <w:color w:val="000000"/>
          <w:sz w:val="26"/>
          <w:szCs w:val="26"/>
        </w:rPr>
      </w:pPr>
      <w:r>
        <w:rPr>
          <w:color w:val="000000"/>
          <w:sz w:val="26"/>
          <w:szCs w:val="26"/>
        </w:rPr>
        <w:t>Mọi sửa đổi, bổ sung hoặc hiệu chỉnh đối với Hợp Đồng này chỉ có giá trị khi được Các Bên lập thành văn bản.</w:t>
      </w:r>
    </w:p>
    <w:p>
      <w:pPr>
        <w:pStyle w:val="Normal"/>
        <w:numPr>
          <w:ilvl w:val="1"/>
          <w:numId w:val="2"/>
        </w:numPr>
        <w:pBdr/>
        <w:spacing w:lineRule="auto" w:line="276"/>
        <w:jc w:val="both"/>
        <w:rPr>
          <w:color w:val="000000"/>
          <w:sz w:val="26"/>
          <w:szCs w:val="26"/>
        </w:rPr>
      </w:pPr>
      <w:r>
        <w:rPr>
          <w:color w:val="000000"/>
          <w:sz w:val="26"/>
          <w:szCs w:val="26"/>
        </w:rPr>
        <w:t>Các Bên cam kết thực hiện đúng và đầy đủ các quyền và nghĩa vụ của mình quy định tại Hợp đồng này và các Phụ lục kèm theo (nếu có).</w:t>
      </w:r>
    </w:p>
    <w:p>
      <w:pPr>
        <w:pStyle w:val="Normal"/>
        <w:numPr>
          <w:ilvl w:val="1"/>
          <w:numId w:val="2"/>
        </w:numPr>
        <w:pBdr/>
        <w:spacing w:lineRule="auto" w:line="276"/>
        <w:jc w:val="both"/>
        <w:rPr>
          <w:color w:val="000000"/>
          <w:sz w:val="26"/>
          <w:szCs w:val="26"/>
        </w:rPr>
      </w:pPr>
      <w:r>
        <w:rPr>
          <w:color w:val="000000"/>
          <w:sz w:val="26"/>
          <w:szCs w:val="26"/>
        </w:rPr>
        <w:t>Mỗi Bên chịu trách nhiệm thực hiện các nghĩa vụ thuế của mình phát sinh từ giao dịch theo Hợp đồng này theo quy định pháp luật. Trường hợp pháp luật quy định một Bên có nghĩa vụ khấu trừ, kê khai, nộp thay bất kỳ khoản thuế nào liên quan đến khoản thanh toán theo Hợp đồng này, Bên đó sẽ thực hiện theo đúng quy định pháp luật và thông báo cho Bên còn lại.</w:t>
      </w:r>
    </w:p>
    <w:p>
      <w:pPr>
        <w:pStyle w:val="Normal"/>
        <w:numPr>
          <w:ilvl w:val="1"/>
          <w:numId w:val="2"/>
        </w:numPr>
        <w:pBdr/>
        <w:spacing w:lineRule="auto" w:line="276"/>
        <w:jc w:val="both"/>
        <w:rPr>
          <w:color w:val="000000"/>
          <w:sz w:val="26"/>
          <w:szCs w:val="26"/>
        </w:rPr>
      </w:pPr>
      <w:r>
        <w:rPr>
          <w:color w:val="000000"/>
          <w:sz w:val="26"/>
          <w:szCs w:val="26"/>
        </w:rPr>
        <w:t/>
      </w:r>
    </w:p>
    <w:p>
      <w:pPr>
        <w:pStyle w:val="Normal"/>
        <w:numPr>
          <w:ilvl w:val="1"/>
          <w:numId w:val="2"/>
        </w:numPr>
        <w:pBdr/>
        <w:spacing w:lineRule="auto" w:line="276"/>
        <w:jc w:val="both"/>
        <w:rPr>
          <w:color w:val="000000"/>
          <w:sz w:val="26"/>
          <w:szCs w:val="26"/>
        </w:rPr>
      </w:pPr>
      <w:r>
        <w:rPr>
          <w:color w:val="000000"/>
          <w:sz w:val="26"/>
          <w:szCs w:val="26"/>
        </w:rPr>
        <w:t>Hợp Đồng này được điều chỉnh và giải thích phù hợp với pháp luật Việt Nam.</w:t>
      </w:r>
    </w:p>
    <w:p>
      <w:pPr>
        <w:pStyle w:val="Normal"/>
        <w:numPr>
          <w:ilvl w:val="1"/>
          <w:numId w:val="2"/>
        </w:numPr>
        <w:pBdr/>
        <w:spacing w:lineRule="auto" w:line="276"/>
        <w:jc w:val="both"/>
        <w:rPr>
          <w:color w:val="000000"/>
          <w:sz w:val="26"/>
          <w:szCs w:val="26"/>
        </w:rPr>
      </w:pPr>
      <w:r>
        <w:rPr>
          <w:color w:val="000000"/>
          <w:sz w:val="26"/>
          <w:szCs w:val="26"/>
        </w:rPr>
        <w:t>Các Bên thống nhất rằng trong vòng 07 ngày kể từ ngày Các Bên hoàn thành các nghĩa vụ và/hoặc kết thúc thời hạn theo quy định tại Hợp Đồng này mà không có bất kỳ khiếu nại, tranh chấp của một trong Các Bên hoặc Hai Bên thì Hợp Đồng này được tự động thanh lý.</w:t>
      </w:r>
    </w:p>
    <w:p>
      <w:pPr>
        <w:pStyle w:val="Normal"/>
        <w:numPr>
          <w:ilvl w:val="1"/>
          <w:numId w:val="2"/>
        </w:numPr>
        <w:pBdr/>
        <w:spacing w:lineRule="auto" w:line="276" w:before="0" w:after="120"/>
        <w:jc w:val="both"/>
        <w:rPr>
          <w:color w:val="000000"/>
          <w:sz w:val="26"/>
          <w:szCs w:val="26"/>
        </w:rPr>
      </w:pPr>
      <w:r>
        <w:rPr>
          <w:color w:val="000000"/>
          <w:sz w:val="26"/>
          <w:szCs w:val="26"/>
        </w:rPr>
        <w:t>Hợp Đồng này được làm thành 02 (hai) bản gốc bằng tiếng Việt và có giá trị pháp lý như nhau. Mỗi Bên giữ 01 (một) bản để thực hiện.</w:t>
      </w:r>
    </w:p>
    <w:p>
      <w:pPr>
        <w:pStyle w:val="Normal"/>
        <w:spacing w:lineRule="auto" w:line="278" w:before="0" w:after="160"/>
        <w:jc w:val="both"/>
        <w:rPr>
          <w:sz w:val="26"/>
          <w:szCs w:val="26"/>
        </w:rPr>
      </w:pPr>
      <w:r>
        <w:rPr>
          <w:b/>
          <w:bCs/>
          <w:sz w:val="26"/>
          <w:szCs w:val="26"/>
        </w:rPr>
        <w:t>ĐỂ LÀM BẰNG CHỨNG,</w:t>
      </w:r>
      <w:r>
        <w:rPr>
          <w:sz w:val="26"/>
          <w:szCs w:val="26"/>
        </w:rPr>
        <w:t xml:space="preserve"> Các Bên dưới đây đã đồng ý ký tên vào ngày được nêu trên phần đầu của Hợp Đồng này.</w:t>
      </w:r>
    </w:p>
    <w:p>
      <w:pPr>
        <w:pStyle w:val="Normal"/>
        <w:spacing w:lineRule="auto" w:line="278" w:before="0" w:after="160"/>
        <w:jc w:val="both"/>
        <w:rPr>
          <w:sz w:val="26"/>
          <w:szCs w:val="26"/>
        </w:rPr>
      </w:pPr>
      <w:r>
        <w:rPr>
          <w:sz w:val="26"/>
          <w:szCs w:val="26"/>
        </w:rPr>
      </w:r>
    </w:p>
    <w:tbl>
      <w:tblPr>
        <w:tblStyle w:val="a3"/>
        <w:tblW w:w="9062" w:type="dxa"/>
        <w:jc w:val="start"/>
        <w:tblInd w:w="0" w:type="dxa"/>
        <w:tblLayout w:type="fixed"/>
        <w:tblCellMar>
          <w:top w:w="0" w:type="dxa"/>
          <w:start w:w="108" w:type="dxa"/>
          <w:bottom w:w="0" w:type="dxa"/>
          <w:end w:w="108" w:type="dxa"/>
        </w:tblCellMar>
        <w:tblLook w:noHBand="0" w:lastColumn="0" w:firstColumn="0" w:lastRow="0" w:firstRow="0" w:noVBand="1" w:val="0400"/>
      </w:tblPr>
      <w:tblGrid>
        <w:gridCol w:w="4531"/>
        <w:gridCol w:w="4531"/>
      </w:tblGrid>
      <w:tr>
        <w:trPr/>
        <w:tc>
          <w:tcPr>
            <w:tcW w:w="4531" w:type="dxa"/>
            <w:tcBorders/>
          </w:tcPr>
          <w:p>
            <w:pPr>
              <w:pStyle w:val="Normal"/>
              <w:tabs>
                <w:tab w:val="clear" w:pos="720"/>
                <w:tab w:val="center" w:pos="1985" w:leader="none"/>
                <w:tab w:val="center" w:pos="7371" w:leader="none"/>
              </w:tabs>
              <w:spacing w:lineRule="auto" w:line="276" w:before="120" w:after="120"/>
              <w:jc w:val="center"/>
              <w:rPr>
                <w:b/>
                <w:bCs/>
                <w:sz w:val="26"/>
                <w:szCs w:val="26"/>
              </w:rPr>
            </w:pPr>
            <w:bookmarkStart w:id="12" w:name="_heading=h.cfr26vknytn5"/>
            <w:bookmarkEnd w:id="12"/>
            <w:r>
              <w:rPr>
                <w:b/>
                <w:bCs/>
                <w:sz w:val="26"/>
                <w:szCs w:val="26"/>
              </w:rPr>
              <w:t>ĐẠI DIỆN BÊN A</w:t>
            </w:r>
          </w:p>
          <w:p>
            <w:pPr>
              <w:pStyle w:val="Normal"/>
              <w:tabs>
                <w:tab w:val="clear" w:pos="720"/>
                <w:tab w:val="center" w:pos="1985" w:leader="none"/>
                <w:tab w:val="center" w:pos="7371" w:leader="none"/>
              </w:tabs>
              <w:spacing w:lineRule="auto" w:line="276" w:before="120" w:after="120"/>
              <w:jc w:val="center"/>
              <w:rPr>
                <w:b/>
                <w:bCs/>
                <w:sz w:val="26"/>
                <w:szCs w:val="26"/>
              </w:rPr>
            </w:pPr>
            <w:r>
              <w:rPr>
                <w:b/>
                <w:bCs/>
                <w:sz w:val="26"/>
                <w:szCs w:val="26"/>
              </w:rPr>
              <w:t>TỔNG GIÁM ĐỐC</w:t>
            </w:r>
          </w:p>
        </w:tc>
        <w:tc>
          <w:tcPr>
            <w:tcW w:w="4531" w:type="dxa"/>
            <w:tcBorders/>
          </w:tcPr>
          <w:p>
            <w:pPr>
              <w:pStyle w:val="Normal"/>
              <w:tabs>
                <w:tab w:val="clear" w:pos="720"/>
                <w:tab w:val="center" w:pos="1985" w:leader="none"/>
                <w:tab w:val="center" w:pos="7371" w:leader="none"/>
              </w:tabs>
              <w:spacing w:lineRule="auto" w:line="276" w:before="120" w:after="120"/>
              <w:jc w:val="center"/>
              <w:rPr>
                <w:b/>
                <w:bCs/>
                <w:sz w:val="26"/>
                <w:szCs w:val="26"/>
              </w:rPr>
            </w:pPr>
            <w:r>
              <w:rPr>
                <w:b/>
                <w:bCs/>
                <w:sz w:val="26"/>
                <w:szCs w:val="26"/>
              </w:rPr>
              <w:t>ĐẠI DIỆN BÊN B</w:t>
            </w:r>
          </w:p>
          <w:p>
            <w:pPr>
              <w:pStyle w:val="Normal"/>
              <w:tabs>
                <w:tab w:val="clear" w:pos="720"/>
                <w:tab w:val="center" w:pos="1985" w:leader="none"/>
                <w:tab w:val="center" w:pos="7371" w:leader="none"/>
              </w:tabs>
              <w:spacing w:lineRule="auto" w:line="276" w:before="120" w:after="120"/>
              <w:jc w:val="center"/>
              <w:rPr>
                <w:b/>
                <w:bCs/>
                <w:sz w:val="26"/>
                <w:szCs w:val="26"/>
              </w:rPr>
            </w:pPr>
            <w:r>
              <w:rPr>
                <w:b/>
                <w:bCs/>
                <w:sz w:val="26"/>
                <w:szCs w:val="26"/>
              </w:rPr>
              <w:t>GIÁM ĐỐC</w:t>
            </w:r>
          </w:p>
        </w:tc>
      </w:tr>
      <w:tr>
        <w:trPr>
          <w:trHeight w:val="1736" w:hRule="atLeast"/>
        </w:trPr>
        <w:tc>
          <w:tcPr>
            <w:tcW w:w="4531" w:type="dxa"/>
            <w:tcBorders/>
          </w:tcPr>
          <w:p>
            <w:pPr>
              <w:pStyle w:val="Normal"/>
              <w:tabs>
                <w:tab w:val="clear" w:pos="720"/>
                <w:tab w:val="center" w:pos="1985" w:leader="none"/>
                <w:tab w:val="center" w:pos="7371" w:leader="none"/>
              </w:tabs>
              <w:spacing w:lineRule="auto" w:line="276" w:before="120" w:after="120"/>
              <w:jc w:val="center"/>
              <w:rPr>
                <w:b/>
                <w:bCs/>
                <w:sz w:val="26"/>
                <w:szCs w:val="26"/>
              </w:rPr>
            </w:pPr>
            <w:r>
              <w:rPr>
                <w:b/>
                <w:bCs/>
                <w:sz w:val="26"/>
                <w:szCs w:val="26"/>
              </w:rPr>
            </w:r>
          </w:p>
        </w:tc>
        <w:tc>
          <w:tcPr>
            <w:tcW w:w="4531" w:type="dxa"/>
            <w:tcBorders/>
          </w:tcPr>
          <w:p>
            <w:pPr>
              <w:pStyle w:val="Normal"/>
              <w:tabs>
                <w:tab w:val="clear" w:pos="720"/>
                <w:tab w:val="center" w:pos="1985" w:leader="none"/>
                <w:tab w:val="center" w:pos="7371" w:leader="none"/>
              </w:tabs>
              <w:spacing w:lineRule="auto" w:line="276" w:before="120" w:after="120"/>
              <w:jc w:val="center"/>
              <w:rPr>
                <w:b/>
                <w:bCs/>
                <w:sz w:val="26"/>
                <w:szCs w:val="26"/>
              </w:rPr>
            </w:pPr>
            <w:r>
              <w:rPr>
                <w:b/>
                <w:bCs/>
                <w:sz w:val="26"/>
                <w:szCs w:val="26"/>
              </w:rPr>
            </w:r>
          </w:p>
        </w:tc>
      </w:tr>
      <w:tr>
        <w:trPr>
          <w:trHeight w:val="1736" w:hRule="atLeast"/>
        </w:trPr>
        <w:tc>
          <w:tcPr>
            <w:tcW w:w="4531" w:type="dxa"/>
            <w:tcBorders/>
          </w:tcPr>
          <w:p>
            <w:pPr>
              <w:pStyle w:val="Normal"/>
              <w:tabs>
                <w:tab w:val="clear" w:pos="720"/>
                <w:tab w:val="center" w:pos="1985" w:leader="none"/>
                <w:tab w:val="center" w:pos="7371" w:leader="none"/>
              </w:tabs>
              <w:spacing w:lineRule="auto" w:line="276" w:before="120" w:after="120"/>
              <w:jc w:val="center"/>
              <w:rPr>
                <w:b/>
                <w:bCs/>
                <w:sz w:val="26"/>
                <w:szCs w:val="26"/>
              </w:rPr>
            </w:pPr>
            <w:r>
              <w:rPr>
                <w:b/>
                <w:bCs/>
                <w:sz w:val="26"/>
                <w:szCs w:val="26"/>
              </w:rPr>
              <w:t>{client.representative}</w:t>
            </w:r>
          </w:p>
        </w:tc>
        <w:tc>
          <w:tcPr>
            <w:tcW w:w="4531" w:type="dxa"/>
            <w:tcBorders/>
          </w:tcPr>
          <w:p>
            <w:pPr>
              <w:pStyle w:val="Normal"/>
              <w:tabs>
                <w:tab w:val="clear" w:pos="720"/>
                <w:tab w:val="center" w:pos="1985" w:leader="none"/>
                <w:tab w:val="center" w:pos="7371" w:leader="none"/>
              </w:tabs>
              <w:spacing w:lineRule="auto" w:line="276" w:before="120" w:after="120"/>
              <w:jc w:val="center"/>
              <w:rPr>
                <w:b/>
                <w:bCs/>
                <w:sz w:val="26"/>
                <w:szCs w:val="26"/>
              </w:rPr>
            </w:pPr>
            <w:r>
              <w:rPr>
                <w:b/>
                <w:bCs/>
                <w:sz w:val="26"/>
                <w:szCs w:val="26"/>
              </w:rPr>
              <w:t>{provider.representative}</w:t>
            </w:r>
          </w:p>
        </w:tc>
      </w:tr>
    </w:tbl>
    <w:p>
      <w:pPr>
        <w:pStyle w:val="Normal"/>
        <w:rPr>
          <w:b/>
          <w:bCs/>
          <w:sz w:val="26"/>
          <w:szCs w:val="26"/>
        </w:rPr>
      </w:pPr>
      <w:r>
        <w:rPr>
          <w:b/>
          <w:bCs/>
          <w:sz w:val="26"/>
          <w:szCs w:val="26"/>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432" w:top="1134" w:footer="562"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Aptos">
    <w:charset w:val="01" w:characterSet="utf-8"/>
    <w:family w:val="swiss"/>
    <w:pitch w:val="variable"/>
  </w:font>
  <w:font w:name="Arial">
    <w:charset w:val="01" w:characterSet="utf-8"/>
    <w:family w:val="swiss"/>
    <w:pitch w:val="variable"/>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320" w:leader="none"/>
        <w:tab w:val="right" w:pos="8640" w:leader="none"/>
      </w:tabs>
      <w:ind w:firstLine="360" w:end="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
      <w:lvlJc w:val="start"/>
      <w:pPr>
        <w:tabs>
          <w:tab w:val="num" w:pos="0"/>
        </w:tabs>
        <w:ind w:start="1440" w:hanging="360"/>
      </w:pPr>
      <w:rPr>
        <w:rFonts w:ascii="Noto Sans Symbols" w:hAnsi="Noto Sans Symbols" w:cs="Noto Sans Symbols"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decimal"/>
      <w:lvlText w:val="ĐIỀU %1."/>
      <w:lvlJc w:val="start"/>
      <w:pPr>
        <w:tabs>
          <w:tab w:val="num" w:pos="0"/>
        </w:tabs>
        <w:ind w:start="0" w:hanging="0"/>
      </w:pPr>
      <w:rPr>
        <w:b/>
        <w:bCs/>
      </w:rPr>
    </w:lvl>
    <w:lvl w:ilvl="1">
      <w:start w:val="1"/>
      <w:numFmt w:val="decimal"/>
      <w:lvlText w:val="%1.%2."/>
      <w:lvlJc w:val="start"/>
      <w:pPr>
        <w:tabs>
          <w:tab w:val="num" w:pos="0"/>
        </w:tabs>
        <w:ind w:start="0" w:firstLine="360"/>
      </w:pPr>
      <w:rPr>
        <w:b/>
        <w:bCs/>
      </w:rPr>
    </w:lvl>
    <w:lvl w:ilvl="2">
      <w:start w:val="1"/>
      <w:numFmt w:val="decimal"/>
      <w:lvlText w:val="%1.%2.%3."/>
      <w:lvlJc w:val="start"/>
      <w:pPr>
        <w:tabs>
          <w:tab w:val="num" w:pos="0"/>
        </w:tabs>
        <w:ind w:start="0" w:firstLine="720"/>
      </w:pPr>
      <w:rPr>
        <w:b w:val="false"/>
        <w:bCs w:val="false"/>
      </w:rPr>
    </w:lvl>
    <w:lvl w:ilvl="3">
      <w:start w:val="1"/>
      <w:numFmt w:val="decimal"/>
      <w:lvlText w:val="%1.%2.%3.%4."/>
      <w:lvlJc w:val="start"/>
      <w:pPr>
        <w:tabs>
          <w:tab w:val="num" w:pos="0"/>
        </w:tabs>
        <w:ind w:start="0" w:firstLine="1080"/>
      </w:pPr>
      <w:rPr/>
    </w:lvl>
    <w:lvl w:ilvl="4">
      <w:start w:val="1"/>
      <w:numFmt w:val="decimal"/>
      <w:lvlText w:val="%1.%2.%3.%4.%5."/>
      <w:lvlJc w:val="start"/>
      <w:pPr>
        <w:tabs>
          <w:tab w:val="num" w:pos="0"/>
        </w:tabs>
        <w:ind w:start="0" w:firstLine="1440"/>
      </w:pPr>
      <w:rPr/>
    </w:lvl>
    <w:lvl w:ilvl="5">
      <w:start w:val="1"/>
      <w:numFmt w:val="decimal"/>
      <w:lvlText w:val="%1.%2.%3.%4.%5.%6."/>
      <w:lvlJc w:val="start"/>
      <w:pPr>
        <w:tabs>
          <w:tab w:val="num" w:pos="0"/>
        </w:tabs>
        <w:ind w:start="2736" w:hanging="935"/>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0" w:firstLine="2520"/>
      </w:pPr>
      <w:rPr/>
    </w:lvl>
    <w:lvl w:ilvl="8">
      <w:start w:val="1"/>
      <w:numFmt w:val="decimal"/>
      <w:lvlText w:val="%1.%2.%3.%4.%5.%6.%7.%8.%9."/>
      <w:lvlJc w:val="start"/>
      <w:pPr>
        <w:tabs>
          <w:tab w:val="num" w:pos="0"/>
        </w:tabs>
        <w:ind w:start="0" w:firstLine="2880"/>
      </w:pPr>
      <w:rPr/>
    </w:lvl>
  </w:abstractNum>
  <w:abstractNum w:abstractNumId="3">
    <w:lvl w:ilvl="0">
      <w:start w:val="1"/>
      <w:numFmt w:val="decimal"/>
      <w:lvlText w:val="%1."/>
      <w:lvlJc w:val="start"/>
      <w:pPr>
        <w:tabs>
          <w:tab w:val="num" w:pos="0"/>
        </w:tabs>
        <w:ind w:start="0" w:hanging="0"/>
      </w:pPr>
      <w:rPr/>
    </w:lvl>
    <w:lvl w:ilvl="1">
      <w:start w:val="1"/>
      <w:numFmt w:val="decimal"/>
      <w:lvlText w:val="%1.%2."/>
      <w:lvlJc w:val="start"/>
      <w:pPr>
        <w:tabs>
          <w:tab w:val="num" w:pos="0"/>
        </w:tabs>
        <w:ind w:start="0" w:firstLine="360"/>
      </w:pPr>
      <w:rPr/>
    </w:lvl>
    <w:lvl w:ilvl="2">
      <w:start w:val="1"/>
      <w:numFmt w:val="bullet"/>
      <w:lvlText w:val="−"/>
      <w:lvlJc w:val="start"/>
      <w:pPr>
        <w:tabs>
          <w:tab w:val="num" w:pos="0"/>
        </w:tabs>
        <w:ind w:start="1080" w:hanging="360"/>
      </w:pPr>
      <w:rPr>
        <w:rFonts w:ascii="Noto Sans Symbols" w:hAnsi="Noto Sans Symbols" w:cs="Noto Sans Symbols" w:hint="default"/>
      </w:rPr>
    </w:lvl>
    <w:lvl w:ilvl="3">
      <w:start w:val="1"/>
      <w:numFmt w:val="decimal"/>
      <w:lvlText w:val="%1.%2.−.%4."/>
      <w:lvlJc w:val="start"/>
      <w:pPr>
        <w:tabs>
          <w:tab w:val="num" w:pos="0"/>
        </w:tabs>
        <w:ind w:start="0" w:firstLine="1080"/>
      </w:pPr>
      <w:rPr/>
    </w:lvl>
    <w:lvl w:ilvl="4">
      <w:start w:val="1"/>
      <w:numFmt w:val="decimal"/>
      <w:lvlText w:val="%1.%2.−.%4.%5."/>
      <w:lvlJc w:val="start"/>
      <w:pPr>
        <w:tabs>
          <w:tab w:val="num" w:pos="0"/>
        </w:tabs>
        <w:ind w:start="0" w:firstLine="1440"/>
      </w:pPr>
      <w:rPr/>
    </w:lvl>
    <w:lvl w:ilvl="5">
      <w:start w:val="1"/>
      <w:numFmt w:val="decimal"/>
      <w:lvlText w:val="%1.%2.−.%4.%5.%6."/>
      <w:lvlJc w:val="start"/>
      <w:pPr>
        <w:tabs>
          <w:tab w:val="num" w:pos="0"/>
        </w:tabs>
        <w:ind w:start="2736" w:hanging="935"/>
      </w:pPr>
      <w:rPr/>
    </w:lvl>
    <w:lvl w:ilvl="6">
      <w:start w:val="1"/>
      <w:numFmt w:val="decimal"/>
      <w:lvlText w:val="%1.%2.−.%4.%5.%6.%7."/>
      <w:lvlJc w:val="start"/>
      <w:pPr>
        <w:tabs>
          <w:tab w:val="num" w:pos="0"/>
        </w:tabs>
        <w:ind w:start="3240" w:hanging="1080"/>
      </w:pPr>
      <w:rPr/>
    </w:lvl>
    <w:lvl w:ilvl="7">
      <w:start w:val="1"/>
      <w:numFmt w:val="decimal"/>
      <w:lvlText w:val="%1.%2.−.%4.%5.%6.%7.%8."/>
      <w:lvlJc w:val="start"/>
      <w:pPr>
        <w:tabs>
          <w:tab w:val="num" w:pos="0"/>
        </w:tabs>
        <w:ind w:start="0" w:firstLine="2520"/>
      </w:pPr>
      <w:rPr/>
    </w:lvl>
    <w:lvl w:ilvl="8">
      <w:start w:val="1"/>
      <w:numFmt w:val="decimal"/>
      <w:lvlText w:val="%1.%2.−.%4.%5.%6.%7.%8.%9."/>
      <w:lvlJc w:val="start"/>
      <w:pPr>
        <w:tabs>
          <w:tab w:val="num" w:pos="0"/>
        </w:tabs>
        <w:ind w:start="0" w:firstLine="2880"/>
      </w:pPr>
      <w:rPr/>
    </w:lvl>
  </w:abstractNum>
  <w:abstractNum w:abstractNumId="4">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o"/>
      <w:lvlJc w:val="start"/>
      <w:pPr>
        <w:tabs>
          <w:tab w:val="num" w:pos="0"/>
        </w:tabs>
        <w:ind w:start="1440" w:hanging="360"/>
      </w:pPr>
      <w:rPr>
        <w:rFonts w:ascii="Courier New" w:hAnsi="Courier New" w:cs="Courier New"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Noto Sans Symbols" w:hAnsi="Noto Sans Symbols" w:cs="Noto Sans Symbols" w:hint="default"/>
      </w:rPr>
    </w:lvl>
    <w:lvl w:ilvl="3">
      <w:start w:val="1"/>
      <w:numFmt w:val="bullet"/>
      <w:lvlText w:val="●"/>
      <w:lvlJc w:val="start"/>
      <w:pPr>
        <w:tabs>
          <w:tab w:val="num" w:pos="0"/>
        </w:tabs>
        <w:ind w:start="3960" w:hanging="360"/>
      </w:pPr>
      <w:rPr>
        <w:rFonts w:ascii="Noto Sans Symbols" w:hAnsi="Noto Sans Symbols" w:cs="Noto Sans Symbols"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Noto Sans Symbols" w:hAnsi="Noto Sans Symbols" w:cs="Noto Sans Symbols" w:hint="default"/>
      </w:rPr>
    </w:lvl>
    <w:lvl w:ilvl="6">
      <w:start w:val="1"/>
      <w:numFmt w:val="bullet"/>
      <w:lvlText w:val="●"/>
      <w:lvlJc w:val="start"/>
      <w:pPr>
        <w:tabs>
          <w:tab w:val="num" w:pos="0"/>
        </w:tabs>
        <w:ind w:start="6120" w:hanging="360"/>
      </w:pPr>
      <w:rPr>
        <w:rFonts w:ascii="Noto Sans Symbols" w:hAnsi="Noto Sans Symbols" w:cs="Noto Sans Symbols"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1080" w:hanging="360"/>
      </w:pPr>
      <w:rPr>
        <w:rFonts w:ascii="Noto Sans Symbols" w:hAnsi="Noto Sans Symbols" w:cs="Noto Sans Symbols" w:hint="default"/>
        <w:color w:val="000000"/>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7">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3"/>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3c7b"/>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uiPriority w:val="9"/>
    <w:qFormat/>
    <w:pPr>
      <w:keepNext w:val="true"/>
      <w:jc w:val="both"/>
      <w:outlineLvl w:val="0"/>
    </w:pPr>
    <w:rPr>
      <w:b/>
      <w:bCs/>
      <w:sz w:val="26"/>
      <w:szCs w:val="26"/>
    </w:rPr>
  </w:style>
  <w:style w:type="paragraph" w:styleId="Heading2">
    <w:name w:val="heading 2"/>
    <w:basedOn w:val="Normal"/>
    <w:next w:val="Normal"/>
    <w:uiPriority w:val="9"/>
    <w:unhideWhenUsed/>
    <w:qFormat/>
    <w:pPr>
      <w:keepNext w:val="true"/>
      <w:jc w:val="both"/>
      <w:outlineLvl w:val="1"/>
    </w:pPr>
    <w:rPr>
      <w:b/>
      <w:bCs/>
      <w:sz w:val="26"/>
      <w:szCs w:val="26"/>
    </w:rPr>
  </w:style>
  <w:style w:type="paragraph" w:styleId="Heading3">
    <w:name w:val="heading 3"/>
    <w:basedOn w:val="Normal"/>
    <w:next w:val="Normal"/>
    <w:uiPriority w:val="9"/>
    <w:semiHidden/>
    <w:unhideWhenUsed/>
    <w:qFormat/>
    <w:pPr>
      <w:keepNext w:val="true"/>
      <w:spacing w:before="240" w:after="60"/>
      <w:outlineLvl w:val="2"/>
    </w:pPr>
    <w:rPr>
      <w:rFonts w:ascii="Calibri" w:hAnsi="Calibri" w:eastAsia="Calibri" w:cs="Calibri"/>
      <w:b/>
      <w:bCs/>
      <w:sz w:val="26"/>
      <w:szCs w:val="26"/>
    </w:rPr>
  </w:style>
  <w:style w:type="paragraph" w:styleId="Heading4">
    <w:name w:val="heading 4"/>
    <w:basedOn w:val="Normal"/>
    <w:next w:val="Normal"/>
    <w:uiPriority w:val="9"/>
    <w:semiHidden/>
    <w:unhideWhenUsed/>
    <w:qFormat/>
    <w:pPr>
      <w:keepNext w:val="true"/>
      <w:spacing w:lineRule="auto" w:line="288"/>
      <w:ind w:start="360"/>
      <w:jc w:val="center"/>
      <w:outlineLvl w:val="3"/>
    </w:pPr>
    <w:rPr>
      <w:b/>
      <w:bCs/>
      <w:sz w:val="28"/>
      <w:szCs w:val="28"/>
    </w:rPr>
  </w:style>
  <w:style w:type="paragraph" w:styleId="Heading5">
    <w:name w:val="heading 5"/>
    <w:basedOn w:val="Normal"/>
    <w:next w:val="Normal"/>
    <w:uiPriority w:val="9"/>
    <w:semiHidden/>
    <w:unhideWhenUsed/>
    <w:qFormat/>
    <w:pPr>
      <w:keepNext w:val="true"/>
      <w:spacing w:lineRule="auto" w:line="288"/>
      <w:ind w:start="360"/>
      <w:jc w:val="end"/>
      <w:outlineLvl w:val="4"/>
    </w:pPr>
    <w:rPr>
      <w:i/>
      <w:iCs/>
      <w:sz w:val="28"/>
      <w:szCs w:val="28"/>
    </w:rPr>
  </w:style>
  <w:style w:type="paragraph" w:styleId="Heading6">
    <w:name w:val="heading 6"/>
    <w:basedOn w:val="Normal"/>
    <w:next w:val="Normal"/>
    <w:uiPriority w:val="9"/>
    <w:semiHidden/>
    <w:unhideWhenUsed/>
    <w:qFormat/>
    <w:pPr>
      <w:keepNext w:val="true"/>
      <w:ind w:hanging="360" w:start="360"/>
      <w:jc w:val="both"/>
      <w:outlineLvl w:val="5"/>
    </w:pPr>
    <w:rPr>
      <w:b/>
      <w:bCs/>
      <w:smallCaps/>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FEPgUGK6Ks9OWucFhNr1uFiSzw==">CgMxLjAyDmguaDc1M2RyMzk4dHppMg5oLjFpbGxkNTFuOHltdTIOaC5mY2dndmJpc2hlaW8yDmguNWQyOTVsY2lmNHp5MghoLmdqZGd4czIOaC52bjd3YWhwOXI4cnEyDmgud2x1NDB4bms0NjV3Mg5oLnJlaHdsZ2thaXl1dDIOaC5ja3UxeXI3bzdqbmYyDmguZ3hzaTk2Y2I3OWl3Mg5oLnR6ZjFubzFrZ2YzMTIOaC5xM21vZGJmZDhvcWMyDmguY2ZyMjZ2a255dG41Mg5oLjNxazFsYWowaDNnOTIOaC40cmJsOTJ0NTUwdnEyDmgudGdmb2IxczNxanBlOAByITFqRThiMWotTkZybGhneEdObjRJTmNDTER2ZVYwSGI0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LibreOffice/26.2.3.2$MacOSX_AARCH64 LibreOffice_project/70e089b17412e4cb7773e41413306b17a2328c34</Application>
  <AppVersion>15.0000</AppVersion>
  <Pages>9</Pages>
  <Words>2740</Words>
  <Characters>15618</Characters>
  <CharactersWithSpaces>18322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2026-04-14T09:19:00Z</dcterms:created>
  <dc:creator>Quỳnh Tạ Quang</dc:creator>
  <dc:description/>
  <dc:language>en-US</dc:language>
  <cp:lastModifiedBy>Tạ Quang Quỳnh</cp:lastModifiedBy>
  <dcterms:modified xsi:type="dcterms:W3CDTF">2026-04-14T09:22:00Z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