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839" w:rsidRPr="00CB3635" w:rsidRDefault="00CB3635" w:rsidP="00BD0FFC">
      <w:pPr>
        <w:pStyle w:val="Default"/>
        <w:rPr>
          <w:sz w:val="52"/>
          <w:szCs w:val="52"/>
        </w:rPr>
      </w:pPr>
      <w:r w:rsidRPr="00CB3635">
        <w:rPr>
          <w:sz w:val="52"/>
          <w:szCs w:val="52"/>
        </w:rPr>
        <w:t>LONG-TERM CARE INSURANCE</w:t>
      </w:r>
      <w:proofErr w:type="gramStart"/>
      <w:r w:rsidRPr="00CB3635">
        <w:rPr>
          <w:sz w:val="52"/>
          <w:szCs w:val="52"/>
        </w:rPr>
        <w:t>:</w:t>
      </w:r>
      <w:proofErr w:type="gramEnd"/>
      <w:r w:rsidRPr="00CB3635">
        <w:rPr>
          <w:sz w:val="52"/>
          <w:szCs w:val="52"/>
        </w:rPr>
        <w:br/>
        <w:t xml:space="preserve">MARKETPLACE UPDATE &amp; COMPLIANCE DISCUSSION  </w:t>
      </w:r>
    </w:p>
    <w:p w:rsidR="00CB3635" w:rsidRDefault="00CB3635" w:rsidP="00BD0FFC">
      <w:pPr>
        <w:pStyle w:val="Default"/>
        <w:rPr>
          <w:b/>
          <w:bCs/>
          <w:sz w:val="32"/>
          <w:szCs w:val="32"/>
        </w:rPr>
      </w:pPr>
    </w:p>
    <w:p w:rsidR="00BD0FFC" w:rsidRDefault="00CB3635" w:rsidP="00BD0FFC">
      <w:pPr>
        <w:pStyle w:val="Default"/>
        <w:rPr>
          <w:sz w:val="32"/>
          <w:szCs w:val="32"/>
        </w:rPr>
      </w:pPr>
      <w:r>
        <w:rPr>
          <w:b/>
          <w:bCs/>
          <w:sz w:val="32"/>
          <w:szCs w:val="32"/>
        </w:rPr>
        <w:t>August 17</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CB3635" w:rsidRPr="00CB3635" w:rsidRDefault="006C6865" w:rsidP="00CB3635">
      <w:pPr>
        <w:pStyle w:val="Default"/>
        <w:rPr>
          <w:b/>
          <w:bCs/>
          <w:sz w:val="22"/>
          <w:szCs w:val="22"/>
        </w:rPr>
      </w:pPr>
      <w:r w:rsidRPr="00745E65">
        <w:rPr>
          <w:b/>
          <w:bCs/>
          <w:sz w:val="22"/>
          <w:szCs w:val="22"/>
        </w:rPr>
        <w:t xml:space="preserve">Course Overview: </w:t>
      </w:r>
      <w:r w:rsidR="00CB3635" w:rsidRPr="00CB3635">
        <w:rPr>
          <w:sz w:val="22"/>
          <w:szCs w:val="22"/>
        </w:rPr>
        <w:t xml:space="preserve">Two in three Americans will need long-term care services after the age of 65, yet only one in 20 Americans have long-term care insurance. Many wrongly believe that their private health insurance or Medicare will cover their care. Are your clients prepared for their eventual healthcare needs? Join Steve Cain and Tom </w:t>
      </w:r>
      <w:proofErr w:type="spellStart"/>
      <w:r w:rsidR="00CB3635" w:rsidRPr="00CB3635">
        <w:rPr>
          <w:sz w:val="22"/>
          <w:szCs w:val="22"/>
        </w:rPr>
        <w:t>Riekse</w:t>
      </w:r>
      <w:proofErr w:type="spellEnd"/>
      <w:r w:rsidR="00CB3635" w:rsidRPr="00CB3635">
        <w:rPr>
          <w:sz w:val="22"/>
          <w:szCs w:val="22"/>
        </w:rPr>
        <w:t xml:space="preserve"> from LTCI Partners for this NAHU member-exclusive Compliance Corner webinar, which will address the top issues in LTCI, including:</w:t>
      </w:r>
    </w:p>
    <w:p w:rsidR="00CB3635" w:rsidRPr="00CB3635" w:rsidRDefault="00CB3635" w:rsidP="00CB3635">
      <w:pPr>
        <w:pStyle w:val="Default"/>
        <w:numPr>
          <w:ilvl w:val="0"/>
          <w:numId w:val="14"/>
        </w:numPr>
        <w:rPr>
          <w:sz w:val="22"/>
          <w:szCs w:val="22"/>
        </w:rPr>
      </w:pPr>
      <w:r w:rsidRPr="00CB3635">
        <w:rPr>
          <w:sz w:val="22"/>
          <w:szCs w:val="22"/>
        </w:rPr>
        <w:t>The rules for paying premiums through Section 125, Health Savings Accounts and Flexible Spending Arrangements</w:t>
      </w:r>
    </w:p>
    <w:p w:rsidR="00CB3635" w:rsidRPr="00CB3635" w:rsidRDefault="00CB3635" w:rsidP="00CB3635">
      <w:pPr>
        <w:pStyle w:val="Default"/>
        <w:numPr>
          <w:ilvl w:val="0"/>
          <w:numId w:val="14"/>
        </w:numPr>
        <w:rPr>
          <w:sz w:val="22"/>
          <w:szCs w:val="22"/>
        </w:rPr>
      </w:pPr>
      <w:r w:rsidRPr="00CB3635">
        <w:rPr>
          <w:sz w:val="22"/>
          <w:szCs w:val="22"/>
        </w:rPr>
        <w:t>State law concerns and filial laws, among others</w:t>
      </w:r>
    </w:p>
    <w:p w:rsidR="00CB3635" w:rsidRPr="00CB3635" w:rsidRDefault="00CB3635" w:rsidP="00CB3635">
      <w:pPr>
        <w:pStyle w:val="Default"/>
        <w:numPr>
          <w:ilvl w:val="0"/>
          <w:numId w:val="14"/>
        </w:numPr>
        <w:rPr>
          <w:sz w:val="22"/>
          <w:szCs w:val="22"/>
        </w:rPr>
      </w:pPr>
      <w:r w:rsidRPr="00CB3635">
        <w:rPr>
          <w:sz w:val="22"/>
          <w:szCs w:val="22"/>
        </w:rPr>
        <w:t>Errors and omissions considerations</w:t>
      </w:r>
    </w:p>
    <w:p w:rsidR="00AE03D8" w:rsidRPr="00CB3635" w:rsidRDefault="00CB3635" w:rsidP="00CB3635">
      <w:pPr>
        <w:pStyle w:val="Default"/>
        <w:numPr>
          <w:ilvl w:val="0"/>
          <w:numId w:val="14"/>
        </w:numPr>
        <w:rPr>
          <w:sz w:val="22"/>
          <w:szCs w:val="22"/>
        </w:rPr>
      </w:pPr>
      <w:r w:rsidRPr="00CB3635">
        <w:rPr>
          <w:sz w:val="22"/>
          <w:szCs w:val="22"/>
        </w:rPr>
        <w:t>Important design issues</w:t>
      </w:r>
      <w:r w:rsidR="00AE03D8" w:rsidRPr="00CB3635">
        <w:rPr>
          <w:b/>
          <w:bCs/>
          <w:sz w:val="28"/>
          <w:szCs w:val="28"/>
        </w:rPr>
        <w:br w:type="page"/>
      </w:r>
    </w:p>
    <w:p w:rsidR="00AE03D8" w:rsidRDefault="00AE03D8">
      <w:pPr>
        <w:rPr>
          <w:rFonts w:cs="Calibri"/>
          <w:b/>
          <w:bCs/>
          <w:color w:val="000000"/>
          <w:sz w:val="28"/>
          <w:szCs w:val="28"/>
        </w:rPr>
      </w:pPr>
      <w:r>
        <w:rPr>
          <w:rFonts w:cs="Calibri"/>
          <w:b/>
          <w:bCs/>
          <w:color w:val="000000"/>
          <w:sz w:val="28"/>
          <w:szCs w:val="28"/>
        </w:rPr>
        <w:lastRenderedPageBreak/>
        <w:t>PRESENTER</w:t>
      </w:r>
      <w:r w:rsidR="00CB3635">
        <w:rPr>
          <w:rFonts w:cs="Calibri"/>
          <w:b/>
          <w:bCs/>
          <w:color w:val="000000"/>
          <w:sz w:val="28"/>
          <w:szCs w:val="28"/>
        </w:rPr>
        <w:t>S</w:t>
      </w:r>
      <w:r>
        <w:rPr>
          <w:rFonts w:cs="Calibri"/>
          <w:b/>
          <w:bCs/>
          <w:color w:val="000000"/>
          <w:sz w:val="28"/>
          <w:szCs w:val="28"/>
        </w:rPr>
        <w:t>:</w:t>
      </w:r>
    </w:p>
    <w:p w:rsidR="00AE03D8" w:rsidRPr="00054786" w:rsidRDefault="00AE03D8">
      <w:pPr>
        <w:rPr>
          <w:rFonts w:cs="Calibri"/>
          <w:b/>
          <w:bCs/>
          <w:color w:val="000000"/>
        </w:rPr>
      </w:pPr>
    </w:p>
    <w:p w:rsidR="00CB3635" w:rsidRPr="00CB3635" w:rsidRDefault="00CB3635" w:rsidP="00CB3635">
      <w:pPr>
        <w:rPr>
          <w:rFonts w:cs="Calibri"/>
          <w:b/>
          <w:bCs/>
          <w:color w:val="000000"/>
        </w:rPr>
      </w:pPr>
      <w:r w:rsidRPr="00CB3635">
        <w:rPr>
          <w:rFonts w:cs="Calibri"/>
          <w:b/>
          <w:bCs/>
          <w:color w:val="000000"/>
        </w:rPr>
        <w:t xml:space="preserve">Tom </w:t>
      </w:r>
      <w:proofErr w:type="spellStart"/>
      <w:r w:rsidRPr="00CB3635">
        <w:rPr>
          <w:rFonts w:cs="Calibri"/>
          <w:b/>
          <w:bCs/>
          <w:color w:val="000000"/>
        </w:rPr>
        <w:t>Riekse</w:t>
      </w:r>
      <w:proofErr w:type="spellEnd"/>
      <w:r w:rsidRPr="00CB3635">
        <w:rPr>
          <w:rFonts w:cs="Calibri"/>
          <w:b/>
          <w:bCs/>
          <w:color w:val="000000"/>
        </w:rPr>
        <w:t xml:space="preserve"> Jr. </w:t>
      </w:r>
    </w:p>
    <w:p w:rsidR="00CB3635" w:rsidRDefault="00CB3635" w:rsidP="00CB3635">
      <w:r w:rsidRPr="00CB3635">
        <w:t xml:space="preserve">Tom </w:t>
      </w:r>
      <w:proofErr w:type="spellStart"/>
      <w:r w:rsidRPr="00CB3635">
        <w:t>Riekse</w:t>
      </w:r>
      <w:proofErr w:type="spellEnd"/>
      <w:r w:rsidRPr="00CB3635">
        <w:t xml:space="preserve">, Jr., </w:t>
      </w:r>
      <w:proofErr w:type="spellStart"/>
      <w:r w:rsidRPr="00CB3635">
        <w:t>ChFC</w:t>
      </w:r>
      <w:proofErr w:type="spellEnd"/>
      <w:r w:rsidRPr="00CB3635">
        <w:t xml:space="preserve">, CEBS has been working in the long-term care insurance business since 1991 with an emphasis on communicating the value of LTC planning to advisors, employers and consumers. </w:t>
      </w:r>
    </w:p>
    <w:p w:rsidR="00CB3635" w:rsidRPr="00CB3635" w:rsidRDefault="00CB3635" w:rsidP="00CB3635"/>
    <w:p w:rsidR="00CB3635" w:rsidRDefault="00CB3635" w:rsidP="00CB3635">
      <w:r w:rsidRPr="00CB3635">
        <w:t xml:space="preserve">He has primary responsibility for all marketing and technology initiatives at LTCI Partners, and has worked closely with carriers and vendors to make LTC Insurance easier to sell and enroll. </w:t>
      </w:r>
    </w:p>
    <w:p w:rsidR="00CB3635" w:rsidRPr="00CB3635" w:rsidRDefault="00CB3635" w:rsidP="00CB3635"/>
    <w:p w:rsidR="00CB3635" w:rsidRDefault="00CB3635" w:rsidP="00CB3635">
      <w:r w:rsidRPr="00CB3635">
        <w:t xml:space="preserve">Tom received his undergraduate degree in from Hope College, Holland Michigan. He subsequently achieved his MBA at the University of Illinois at Chicago, with a concentration in finance and marketing. He holds the Certified Employee Benefit Specialist designation from the International Foundation of Employee Benefit Plans and the Wharton School and his Chartered Financial Consultant from the American College. </w:t>
      </w:r>
    </w:p>
    <w:p w:rsidR="00CB3635" w:rsidRPr="00CB3635" w:rsidRDefault="00CB3635" w:rsidP="00CB3635"/>
    <w:p w:rsidR="00CB3635" w:rsidRPr="00CB3635" w:rsidRDefault="00CB3635" w:rsidP="00CB3635">
      <w:r w:rsidRPr="00CB3635">
        <w:t>Tom serves on the board of directors of the Society of Financial Services Professionals-Chicago and has served as a board member of The National Association of Independent Life Brokerage Agencies (NAILBA).</w:t>
      </w:r>
    </w:p>
    <w:p w:rsidR="00CB3635" w:rsidRDefault="00CB3635" w:rsidP="00623AFA"/>
    <w:p w:rsidR="00CB3635" w:rsidRDefault="00CB3635" w:rsidP="00623AFA"/>
    <w:p w:rsidR="00CB3635" w:rsidRPr="00CB3635" w:rsidRDefault="00CB3635" w:rsidP="00CB3635">
      <w:pPr>
        <w:rPr>
          <w:rFonts w:cs="Calibri"/>
          <w:b/>
          <w:bCs/>
          <w:color w:val="000000"/>
        </w:rPr>
      </w:pPr>
      <w:r w:rsidRPr="00CB3635">
        <w:rPr>
          <w:rFonts w:cs="Calibri"/>
          <w:b/>
          <w:bCs/>
          <w:color w:val="000000"/>
        </w:rPr>
        <w:t xml:space="preserve">Steve Cain </w:t>
      </w:r>
    </w:p>
    <w:p w:rsidR="00CB3635" w:rsidRDefault="00CB3635" w:rsidP="00CB3635">
      <w:r w:rsidRPr="00CB3635">
        <w:t xml:space="preserve">Steve Cain is a Director and is the National Sales &amp; Business Development Leader for LTCI Partners, one of the nation’s largest Long-Term Care Insurance (LTCI) retail and wholesale brokerage enterprises. </w:t>
      </w:r>
    </w:p>
    <w:p w:rsidR="00CB3635" w:rsidRPr="00CB3635" w:rsidRDefault="00CB3635" w:rsidP="00CB3635"/>
    <w:p w:rsidR="00CB3635" w:rsidRDefault="00CB3635" w:rsidP="00CB3635">
      <w:r w:rsidRPr="00CB3635">
        <w:t>He is responsible for increasing the firm’s revenue – from acquisition of new Institutional and Group accounts, to the development of existing client relationships. Steve brings more than 16 years of experience in the insurance brokerage marketplace.</w:t>
      </w:r>
    </w:p>
    <w:p w:rsidR="00CB3635" w:rsidRPr="00CB3635" w:rsidRDefault="00CB3635" w:rsidP="00CB3635"/>
    <w:p w:rsidR="00CB3635" w:rsidRPr="00623AFA" w:rsidRDefault="00CB3635" w:rsidP="00623AFA">
      <w:r w:rsidRPr="00CB3635">
        <w:t>Steve is a graduate of the University of California at Santa Barbara. After graduation, he had a brief career in professional baseball, pitching in the farm systems of three professional teams. Steve is married with two young daughters and resides in Los Angeles, CA.</w:t>
      </w:r>
    </w:p>
    <w:p w:rsidR="00BD0FFC" w:rsidRDefault="00BD0FFC" w:rsidP="00745E65">
      <w:pPr>
        <w:pStyle w:val="Default"/>
        <w:pageBreakBefore/>
        <w:rPr>
          <w:sz w:val="28"/>
          <w:szCs w:val="28"/>
        </w:rPr>
      </w:pPr>
      <w:r>
        <w:rPr>
          <w:b/>
          <w:bCs/>
          <w:sz w:val="28"/>
          <w:szCs w:val="28"/>
        </w:rPr>
        <w:lastRenderedPageBreak/>
        <w:t xml:space="preserve">TIMED OUTLINE </w:t>
      </w:r>
    </w:p>
    <w:p w:rsidR="00484839" w:rsidRPr="00484839" w:rsidRDefault="00484839" w:rsidP="00484839">
      <w:pPr>
        <w:pStyle w:val="Default"/>
        <w:numPr>
          <w:ilvl w:val="0"/>
          <w:numId w:val="4"/>
        </w:numPr>
        <w:rPr>
          <w:rFonts w:asciiTheme="minorHAnsi" w:hAnsiTheme="minorHAnsi"/>
          <w:b/>
          <w:bCs/>
          <w:sz w:val="22"/>
          <w:szCs w:val="22"/>
        </w:rPr>
      </w:pPr>
      <w:r w:rsidRPr="00484839">
        <w:rPr>
          <w:rFonts w:asciiTheme="minorHAnsi" w:hAnsiTheme="minorHAnsi"/>
          <w:b/>
          <w:bCs/>
          <w:sz w:val="22"/>
          <w:szCs w:val="22"/>
        </w:rPr>
        <w:t>Intro  (</w:t>
      </w:r>
      <w:r w:rsidR="00CB3635">
        <w:rPr>
          <w:rFonts w:asciiTheme="minorHAnsi" w:hAnsiTheme="minorHAnsi"/>
          <w:b/>
          <w:bCs/>
          <w:sz w:val="22"/>
          <w:szCs w:val="22"/>
        </w:rPr>
        <w:t>5</w:t>
      </w:r>
      <w:r>
        <w:rPr>
          <w:rFonts w:asciiTheme="minorHAnsi" w:hAnsiTheme="minorHAnsi"/>
          <w:b/>
          <w:bCs/>
          <w:sz w:val="22"/>
          <w:szCs w:val="22"/>
        </w:rPr>
        <w:t xml:space="preserve"> Minute</w:t>
      </w:r>
      <w:r w:rsidR="00CB3635">
        <w:rPr>
          <w:rFonts w:asciiTheme="minorHAnsi" w:hAnsiTheme="minorHAnsi"/>
          <w:b/>
          <w:bCs/>
          <w:sz w:val="22"/>
          <w:szCs w:val="22"/>
        </w:rPr>
        <w:t>s</w:t>
      </w:r>
      <w:r w:rsidRPr="00484839">
        <w:rPr>
          <w:rFonts w:asciiTheme="minorHAnsi" w:hAnsiTheme="minorHAnsi"/>
          <w:b/>
          <w:bCs/>
          <w:sz w:val="22"/>
          <w:szCs w:val="22"/>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LTC INSURANCE SOLUTIONS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TAX TREATMENT OF LTC INSURANCE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LEGISLATIVE UPDATE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TRENDS IN PLAN DESIGN (SUITABILITY)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SUITABILITY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E&amp;O CONSIDERATIONS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CB3635" w:rsidRPr="00CB3635" w:rsidRDefault="00CB3635" w:rsidP="00CB3635">
      <w:pPr>
        <w:pStyle w:val="ListParagraph"/>
        <w:numPr>
          <w:ilvl w:val="0"/>
          <w:numId w:val="4"/>
        </w:numPr>
        <w:rPr>
          <w:rFonts w:asciiTheme="minorHAnsi" w:hAnsiTheme="minorHAnsi"/>
          <w:b/>
          <w:bCs/>
        </w:rPr>
      </w:pPr>
      <w:r w:rsidRPr="00CB3635">
        <w:rPr>
          <w:rFonts w:asciiTheme="minorHAnsi" w:hAnsiTheme="minorHAnsi"/>
          <w:b/>
          <w:bCs/>
        </w:rPr>
        <w:t xml:space="preserve">BEHAVIORAL FINANCE LESSONS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6C6865" w:rsidRPr="00484839" w:rsidRDefault="00CB3635" w:rsidP="00484839">
      <w:pPr>
        <w:pStyle w:val="ListParagraph"/>
        <w:numPr>
          <w:ilvl w:val="0"/>
          <w:numId w:val="4"/>
        </w:numPr>
        <w:rPr>
          <w:rFonts w:asciiTheme="minorHAnsi" w:hAnsiTheme="minorHAnsi"/>
          <w:b/>
          <w:bCs/>
        </w:rPr>
      </w:pPr>
      <w:r>
        <w:rPr>
          <w:rFonts w:asciiTheme="minorHAnsi" w:hAnsiTheme="minorHAnsi"/>
          <w:b/>
          <w:bCs/>
        </w:rPr>
        <w:t>Q &amp; A (20</w:t>
      </w:r>
      <w:r w:rsidR="00484839" w:rsidRPr="00484839">
        <w:rPr>
          <w:rFonts w:asciiTheme="minorHAnsi" w:hAnsiTheme="minorHAnsi"/>
          <w:b/>
          <w:bCs/>
        </w:rPr>
        <w:t xml:space="preserve"> minutes)</w:t>
      </w:r>
    </w:p>
    <w:sectPr w:rsidR="006C6865" w:rsidRPr="00484839"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C06EA9"/>
    <w:multiLevelType w:val="hybridMultilevel"/>
    <w:tmpl w:val="2A626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6E10DC"/>
    <w:multiLevelType w:val="multilevel"/>
    <w:tmpl w:val="E84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8DA6FB4"/>
    <w:multiLevelType w:val="hybridMultilevel"/>
    <w:tmpl w:val="265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B43361"/>
    <w:multiLevelType w:val="hybridMultilevel"/>
    <w:tmpl w:val="ABEACE64"/>
    <w:lvl w:ilvl="0" w:tplc="6F9E7FD8">
      <w:start w:val="1"/>
      <w:numFmt w:val="bullet"/>
      <w:lvlText w:val=""/>
      <w:lvlJc w:val="left"/>
      <w:pPr>
        <w:tabs>
          <w:tab w:val="num" w:pos="720"/>
        </w:tabs>
        <w:ind w:left="720" w:hanging="360"/>
      </w:pPr>
      <w:rPr>
        <w:rFonts w:ascii="Wingdings" w:hAnsi="Wingdings" w:hint="default"/>
      </w:rPr>
    </w:lvl>
    <w:lvl w:ilvl="1" w:tplc="FBFA499E" w:tentative="1">
      <w:start w:val="1"/>
      <w:numFmt w:val="bullet"/>
      <w:lvlText w:val=""/>
      <w:lvlJc w:val="left"/>
      <w:pPr>
        <w:tabs>
          <w:tab w:val="num" w:pos="1440"/>
        </w:tabs>
        <w:ind w:left="1440" w:hanging="360"/>
      </w:pPr>
      <w:rPr>
        <w:rFonts w:ascii="Wingdings" w:hAnsi="Wingdings" w:hint="default"/>
      </w:rPr>
    </w:lvl>
    <w:lvl w:ilvl="2" w:tplc="B1C67CDC" w:tentative="1">
      <w:start w:val="1"/>
      <w:numFmt w:val="bullet"/>
      <w:lvlText w:val=""/>
      <w:lvlJc w:val="left"/>
      <w:pPr>
        <w:tabs>
          <w:tab w:val="num" w:pos="2160"/>
        </w:tabs>
        <w:ind w:left="2160" w:hanging="360"/>
      </w:pPr>
      <w:rPr>
        <w:rFonts w:ascii="Wingdings" w:hAnsi="Wingdings" w:hint="default"/>
      </w:rPr>
    </w:lvl>
    <w:lvl w:ilvl="3" w:tplc="86E22D1A" w:tentative="1">
      <w:start w:val="1"/>
      <w:numFmt w:val="bullet"/>
      <w:lvlText w:val=""/>
      <w:lvlJc w:val="left"/>
      <w:pPr>
        <w:tabs>
          <w:tab w:val="num" w:pos="2880"/>
        </w:tabs>
        <w:ind w:left="2880" w:hanging="360"/>
      </w:pPr>
      <w:rPr>
        <w:rFonts w:ascii="Wingdings" w:hAnsi="Wingdings" w:hint="default"/>
      </w:rPr>
    </w:lvl>
    <w:lvl w:ilvl="4" w:tplc="B6FEAD30" w:tentative="1">
      <w:start w:val="1"/>
      <w:numFmt w:val="bullet"/>
      <w:lvlText w:val=""/>
      <w:lvlJc w:val="left"/>
      <w:pPr>
        <w:tabs>
          <w:tab w:val="num" w:pos="3600"/>
        </w:tabs>
        <w:ind w:left="3600" w:hanging="360"/>
      </w:pPr>
      <w:rPr>
        <w:rFonts w:ascii="Wingdings" w:hAnsi="Wingdings" w:hint="default"/>
      </w:rPr>
    </w:lvl>
    <w:lvl w:ilvl="5" w:tplc="9796C562" w:tentative="1">
      <w:start w:val="1"/>
      <w:numFmt w:val="bullet"/>
      <w:lvlText w:val=""/>
      <w:lvlJc w:val="left"/>
      <w:pPr>
        <w:tabs>
          <w:tab w:val="num" w:pos="4320"/>
        </w:tabs>
        <w:ind w:left="4320" w:hanging="360"/>
      </w:pPr>
      <w:rPr>
        <w:rFonts w:ascii="Wingdings" w:hAnsi="Wingdings" w:hint="default"/>
      </w:rPr>
    </w:lvl>
    <w:lvl w:ilvl="6" w:tplc="B2003D6E" w:tentative="1">
      <w:start w:val="1"/>
      <w:numFmt w:val="bullet"/>
      <w:lvlText w:val=""/>
      <w:lvlJc w:val="left"/>
      <w:pPr>
        <w:tabs>
          <w:tab w:val="num" w:pos="5040"/>
        </w:tabs>
        <w:ind w:left="5040" w:hanging="360"/>
      </w:pPr>
      <w:rPr>
        <w:rFonts w:ascii="Wingdings" w:hAnsi="Wingdings" w:hint="default"/>
      </w:rPr>
    </w:lvl>
    <w:lvl w:ilvl="7" w:tplc="FE42F620" w:tentative="1">
      <w:start w:val="1"/>
      <w:numFmt w:val="bullet"/>
      <w:lvlText w:val=""/>
      <w:lvlJc w:val="left"/>
      <w:pPr>
        <w:tabs>
          <w:tab w:val="num" w:pos="5760"/>
        </w:tabs>
        <w:ind w:left="5760" w:hanging="360"/>
      </w:pPr>
      <w:rPr>
        <w:rFonts w:ascii="Wingdings" w:hAnsi="Wingdings" w:hint="default"/>
      </w:rPr>
    </w:lvl>
    <w:lvl w:ilvl="8" w:tplc="DCA898EE" w:tentative="1">
      <w:start w:val="1"/>
      <w:numFmt w:val="bullet"/>
      <w:lvlText w:val=""/>
      <w:lvlJc w:val="left"/>
      <w:pPr>
        <w:tabs>
          <w:tab w:val="num" w:pos="6480"/>
        </w:tabs>
        <w:ind w:left="6480" w:hanging="360"/>
      </w:pPr>
      <w:rPr>
        <w:rFonts w:ascii="Wingdings" w:hAnsi="Wingdings" w:hint="default"/>
      </w:rPr>
    </w:lvl>
  </w:abstractNum>
  <w:abstractNum w:abstractNumId="12">
    <w:nsid w:val="78CC7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2"/>
  </w:num>
  <w:num w:numId="5">
    <w:abstractNumId w:val="10"/>
  </w:num>
  <w:num w:numId="6">
    <w:abstractNumId w:val="1"/>
  </w:num>
  <w:num w:numId="7">
    <w:abstractNumId w:val="8"/>
  </w:num>
  <w:num w:numId="8">
    <w:abstractNumId w:val="4"/>
  </w:num>
  <w:num w:numId="9">
    <w:abstractNumId w:val="6"/>
  </w:num>
  <w:num w:numId="10">
    <w:abstractNumId w:val="9"/>
  </w:num>
  <w:num w:numId="11">
    <w:abstractNumId w:val="12"/>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61EC"/>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41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4839"/>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AFA"/>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115"/>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4ED"/>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2A7"/>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635"/>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44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0350"/>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s>
</file>

<file path=word/webSettings.xml><?xml version="1.0" encoding="utf-8"?>
<w:webSettings xmlns:r="http://schemas.openxmlformats.org/officeDocument/2006/relationships" xmlns:w="http://schemas.openxmlformats.org/wordprocessingml/2006/main">
  <w:divs>
    <w:div w:id="30035413">
      <w:bodyDiv w:val="1"/>
      <w:marLeft w:val="0"/>
      <w:marRight w:val="0"/>
      <w:marTop w:val="0"/>
      <w:marBottom w:val="0"/>
      <w:divBdr>
        <w:top w:val="none" w:sz="0" w:space="0" w:color="auto"/>
        <w:left w:val="none" w:sz="0" w:space="0" w:color="auto"/>
        <w:bottom w:val="none" w:sz="0" w:space="0" w:color="auto"/>
        <w:right w:val="none" w:sz="0" w:space="0" w:color="auto"/>
      </w:divBdr>
    </w:div>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403332352">
      <w:bodyDiv w:val="1"/>
      <w:marLeft w:val="0"/>
      <w:marRight w:val="0"/>
      <w:marTop w:val="0"/>
      <w:marBottom w:val="0"/>
      <w:divBdr>
        <w:top w:val="none" w:sz="0" w:space="0" w:color="auto"/>
        <w:left w:val="none" w:sz="0" w:space="0" w:color="auto"/>
        <w:bottom w:val="none" w:sz="0" w:space="0" w:color="auto"/>
        <w:right w:val="none" w:sz="0" w:space="0" w:color="auto"/>
      </w:divBdr>
      <w:divsChild>
        <w:div w:id="889419419">
          <w:marLeft w:val="720"/>
          <w:marRight w:val="0"/>
          <w:marTop w:val="115"/>
          <w:marBottom w:val="0"/>
          <w:divBdr>
            <w:top w:val="none" w:sz="0" w:space="0" w:color="auto"/>
            <w:left w:val="none" w:sz="0" w:space="0" w:color="auto"/>
            <w:bottom w:val="none" w:sz="0" w:space="0" w:color="auto"/>
            <w:right w:val="none" w:sz="0" w:space="0" w:color="auto"/>
          </w:divBdr>
        </w:div>
        <w:div w:id="1108818682">
          <w:marLeft w:val="720"/>
          <w:marRight w:val="0"/>
          <w:marTop w:val="115"/>
          <w:marBottom w:val="0"/>
          <w:divBdr>
            <w:top w:val="none" w:sz="0" w:space="0" w:color="auto"/>
            <w:left w:val="none" w:sz="0" w:space="0" w:color="auto"/>
            <w:bottom w:val="none" w:sz="0" w:space="0" w:color="auto"/>
            <w:right w:val="none" w:sz="0" w:space="0" w:color="auto"/>
          </w:divBdr>
        </w:div>
        <w:div w:id="482476914">
          <w:marLeft w:val="720"/>
          <w:marRight w:val="0"/>
          <w:marTop w:val="115"/>
          <w:marBottom w:val="0"/>
          <w:divBdr>
            <w:top w:val="none" w:sz="0" w:space="0" w:color="auto"/>
            <w:left w:val="none" w:sz="0" w:space="0" w:color="auto"/>
            <w:bottom w:val="none" w:sz="0" w:space="0" w:color="auto"/>
            <w:right w:val="none" w:sz="0" w:space="0" w:color="auto"/>
          </w:divBdr>
        </w:div>
        <w:div w:id="645164886">
          <w:marLeft w:val="720"/>
          <w:marRight w:val="0"/>
          <w:marTop w:val="115"/>
          <w:marBottom w:val="0"/>
          <w:divBdr>
            <w:top w:val="none" w:sz="0" w:space="0" w:color="auto"/>
            <w:left w:val="none" w:sz="0" w:space="0" w:color="auto"/>
            <w:bottom w:val="none" w:sz="0" w:space="0" w:color="auto"/>
            <w:right w:val="none" w:sz="0" w:space="0" w:color="auto"/>
          </w:divBdr>
        </w:div>
        <w:div w:id="1684358719">
          <w:marLeft w:val="720"/>
          <w:marRight w:val="0"/>
          <w:marTop w:val="115"/>
          <w:marBottom w:val="0"/>
          <w:divBdr>
            <w:top w:val="none" w:sz="0" w:space="0" w:color="auto"/>
            <w:left w:val="none" w:sz="0" w:space="0" w:color="auto"/>
            <w:bottom w:val="none" w:sz="0" w:space="0" w:color="auto"/>
            <w:right w:val="none" w:sz="0" w:space="0" w:color="auto"/>
          </w:divBdr>
        </w:div>
        <w:div w:id="2051223743">
          <w:marLeft w:val="720"/>
          <w:marRight w:val="0"/>
          <w:marTop w:val="115"/>
          <w:marBottom w:val="0"/>
          <w:divBdr>
            <w:top w:val="none" w:sz="0" w:space="0" w:color="auto"/>
            <w:left w:val="none" w:sz="0" w:space="0" w:color="auto"/>
            <w:bottom w:val="none" w:sz="0" w:space="0" w:color="auto"/>
            <w:right w:val="none" w:sz="0" w:space="0" w:color="auto"/>
          </w:divBdr>
        </w:div>
        <w:div w:id="325745650">
          <w:marLeft w:val="720"/>
          <w:marRight w:val="0"/>
          <w:marTop w:val="115"/>
          <w:marBottom w:val="0"/>
          <w:divBdr>
            <w:top w:val="none" w:sz="0" w:space="0" w:color="auto"/>
            <w:left w:val="none" w:sz="0" w:space="0" w:color="auto"/>
            <w:bottom w:val="none" w:sz="0" w:space="0" w:color="auto"/>
            <w:right w:val="none" w:sz="0" w:space="0" w:color="auto"/>
          </w:divBdr>
        </w:div>
        <w:div w:id="766535729">
          <w:marLeft w:val="720"/>
          <w:marRight w:val="0"/>
          <w:marTop w:val="115"/>
          <w:marBottom w:val="0"/>
          <w:divBdr>
            <w:top w:val="none" w:sz="0" w:space="0" w:color="auto"/>
            <w:left w:val="none" w:sz="0" w:space="0" w:color="auto"/>
            <w:bottom w:val="none" w:sz="0" w:space="0" w:color="auto"/>
            <w:right w:val="none" w:sz="0" w:space="0" w:color="auto"/>
          </w:divBdr>
        </w:div>
        <w:div w:id="920597786">
          <w:marLeft w:val="720"/>
          <w:marRight w:val="0"/>
          <w:marTop w:val="115"/>
          <w:marBottom w:val="0"/>
          <w:divBdr>
            <w:top w:val="none" w:sz="0" w:space="0" w:color="auto"/>
            <w:left w:val="none" w:sz="0" w:space="0" w:color="auto"/>
            <w:bottom w:val="none" w:sz="0" w:space="0" w:color="auto"/>
            <w:right w:val="none" w:sz="0" w:space="0" w:color="auto"/>
          </w:divBdr>
        </w:div>
        <w:div w:id="944725079">
          <w:marLeft w:val="720"/>
          <w:marRight w:val="0"/>
          <w:marTop w:val="115"/>
          <w:marBottom w:val="0"/>
          <w:divBdr>
            <w:top w:val="none" w:sz="0" w:space="0" w:color="auto"/>
            <w:left w:val="none" w:sz="0" w:space="0" w:color="auto"/>
            <w:bottom w:val="none" w:sz="0" w:space="0" w:color="auto"/>
            <w:right w:val="none" w:sz="0" w:space="0" w:color="auto"/>
          </w:divBdr>
        </w:div>
      </w:divsChild>
    </w:div>
    <w:div w:id="595789470">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712462955">
      <w:bodyDiv w:val="1"/>
      <w:marLeft w:val="0"/>
      <w:marRight w:val="0"/>
      <w:marTop w:val="0"/>
      <w:marBottom w:val="0"/>
      <w:divBdr>
        <w:top w:val="none" w:sz="0" w:space="0" w:color="auto"/>
        <w:left w:val="none" w:sz="0" w:space="0" w:color="auto"/>
        <w:bottom w:val="none" w:sz="0" w:space="0" w:color="auto"/>
        <w:right w:val="none" w:sz="0" w:space="0" w:color="auto"/>
      </w:divBdr>
    </w:div>
    <w:div w:id="785546241">
      <w:bodyDiv w:val="1"/>
      <w:marLeft w:val="0"/>
      <w:marRight w:val="0"/>
      <w:marTop w:val="0"/>
      <w:marBottom w:val="0"/>
      <w:divBdr>
        <w:top w:val="none" w:sz="0" w:space="0" w:color="auto"/>
        <w:left w:val="none" w:sz="0" w:space="0" w:color="auto"/>
        <w:bottom w:val="none" w:sz="0" w:space="0" w:color="auto"/>
        <w:right w:val="none" w:sz="0" w:space="0" w:color="auto"/>
      </w:divBdr>
    </w:div>
    <w:div w:id="2033261666">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3</cp:revision>
  <dcterms:created xsi:type="dcterms:W3CDTF">2017-10-04T20:26:00Z</dcterms:created>
  <dcterms:modified xsi:type="dcterms:W3CDTF">2017-10-04T20:54:00Z</dcterms:modified>
</cp:coreProperties>
</file>