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FC" w:rsidRDefault="00D85A09" w:rsidP="00BD0FFC">
      <w:pPr>
        <w:pStyle w:val="Default"/>
        <w:rPr>
          <w:sz w:val="52"/>
          <w:szCs w:val="52"/>
        </w:rPr>
      </w:pPr>
      <w:r w:rsidRPr="00D85A09">
        <w:rPr>
          <w:sz w:val="52"/>
          <w:szCs w:val="52"/>
        </w:rPr>
        <w:t>WHAT AGENTS AND BROKERS NEED TO KNOW ABOUT THE HRA PROVISION OF THE CURES ACT AND THE FIDUCIARY RULE</w:t>
      </w:r>
    </w:p>
    <w:p w:rsidR="00BD0FFC" w:rsidRDefault="00BD0FFC" w:rsidP="00BD0FFC">
      <w:pPr>
        <w:pStyle w:val="Default"/>
        <w:rPr>
          <w:b/>
          <w:bCs/>
          <w:sz w:val="32"/>
          <w:szCs w:val="32"/>
        </w:rPr>
      </w:pPr>
    </w:p>
    <w:p w:rsidR="00BD0FFC" w:rsidRDefault="00582DF9" w:rsidP="00BD0FFC">
      <w:pPr>
        <w:pStyle w:val="Default"/>
        <w:rPr>
          <w:sz w:val="32"/>
          <w:szCs w:val="32"/>
        </w:rPr>
      </w:pPr>
      <w:r>
        <w:rPr>
          <w:b/>
          <w:bCs/>
          <w:sz w:val="32"/>
          <w:szCs w:val="32"/>
        </w:rPr>
        <w:t>March 16</w:t>
      </w:r>
      <w:r w:rsidR="00BD0FFC">
        <w:rPr>
          <w:b/>
          <w:bCs/>
          <w:sz w:val="32"/>
          <w:szCs w:val="32"/>
        </w:rPr>
        <w:t>, 201</w:t>
      </w:r>
      <w:r>
        <w:rPr>
          <w:b/>
          <w:bCs/>
          <w:sz w:val="32"/>
          <w:szCs w:val="32"/>
        </w:rPr>
        <w:t>7</w:t>
      </w:r>
    </w:p>
    <w:p w:rsidR="00BD0FFC" w:rsidRDefault="00BD0FFC"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Pr="00745E65" w:rsidRDefault="00D057C1" w:rsidP="00BD0FFC">
      <w:pPr>
        <w:pStyle w:val="Default"/>
        <w:rPr>
          <w:b/>
          <w:bCs/>
          <w:sz w:val="22"/>
          <w:szCs w:val="22"/>
        </w:rPr>
      </w:pPr>
    </w:p>
    <w:p w:rsidR="00CA2412" w:rsidRPr="00CA2412" w:rsidRDefault="00BD0FFC" w:rsidP="00CA2412">
      <w:pPr>
        <w:pStyle w:val="Default"/>
        <w:rPr>
          <w:sz w:val="22"/>
          <w:szCs w:val="22"/>
        </w:rPr>
      </w:pPr>
      <w:r w:rsidRPr="00745E65">
        <w:rPr>
          <w:b/>
          <w:bCs/>
          <w:sz w:val="22"/>
          <w:szCs w:val="22"/>
        </w:rPr>
        <w:t xml:space="preserve">Course Overview: </w:t>
      </w:r>
      <w:r w:rsidRPr="00745E65">
        <w:rPr>
          <w:sz w:val="22"/>
          <w:szCs w:val="22"/>
        </w:rPr>
        <w:t>During this course, participants will learn about</w:t>
      </w:r>
      <w:r w:rsidR="00CA2412">
        <w:rPr>
          <w:sz w:val="22"/>
          <w:szCs w:val="22"/>
        </w:rPr>
        <w:t xml:space="preserve"> </w:t>
      </w:r>
      <w:r w:rsidR="00CA2412" w:rsidRPr="00CA2412">
        <w:rPr>
          <w:sz w:val="22"/>
          <w:szCs w:val="22"/>
        </w:rPr>
        <w:t>recent compliance challenges on health reimbursement arrangements and the fiduciary rule. Participants will also be provided practical and useful information to allow them to better serve their clients, and minimize market confusion that is creating concerns among employers, accountants and other benefits professionals.</w:t>
      </w:r>
    </w:p>
    <w:p w:rsidR="00CA2412" w:rsidRPr="00CA2412" w:rsidRDefault="00CA2412" w:rsidP="00BD0FFC">
      <w:pPr>
        <w:pStyle w:val="Default"/>
        <w:rPr>
          <w:sz w:val="22"/>
          <w:szCs w:val="22"/>
        </w:rPr>
      </w:pPr>
    </w:p>
    <w:p w:rsidR="00BD0FFC" w:rsidRPr="00745E65" w:rsidRDefault="00BD0FFC" w:rsidP="00BD0FFC">
      <w:pPr>
        <w:pStyle w:val="Default"/>
        <w:rPr>
          <w:sz w:val="22"/>
          <w:szCs w:val="22"/>
          <w:highlight w:val="lightGray"/>
        </w:rPr>
      </w:pPr>
      <w:r w:rsidRPr="00745E65">
        <w:rPr>
          <w:b/>
          <w:bCs/>
          <w:sz w:val="22"/>
          <w:szCs w:val="22"/>
        </w:rPr>
        <w:t xml:space="preserve">Learning Objectives: </w:t>
      </w:r>
      <w:r w:rsidRPr="00745E65">
        <w:rPr>
          <w:sz w:val="22"/>
          <w:szCs w:val="22"/>
        </w:rPr>
        <w:t>Upon completion of the co</w:t>
      </w:r>
      <w:r w:rsidR="00E319ED" w:rsidRPr="00745E65">
        <w:rPr>
          <w:sz w:val="22"/>
          <w:szCs w:val="22"/>
        </w:rPr>
        <w:t>urse, the participant will know:</w:t>
      </w:r>
    </w:p>
    <w:p w:rsidR="006640C6" w:rsidRDefault="00D85A09" w:rsidP="00D85A09">
      <w:pPr>
        <w:numPr>
          <w:ilvl w:val="0"/>
          <w:numId w:val="7"/>
        </w:numPr>
        <w:rPr>
          <w:rFonts w:ascii="Calibri" w:hAnsi="Calibri" w:cs="Calibri"/>
          <w:color w:val="000000"/>
        </w:rPr>
      </w:pPr>
      <w:r w:rsidRPr="00D85A09">
        <w:rPr>
          <w:rFonts w:ascii="Calibri" w:hAnsi="Calibri" w:cs="Calibri"/>
          <w:color w:val="000000"/>
        </w:rPr>
        <w:t xml:space="preserve">The 21st Century Cures Act (specifically the Qualified Small Business HRAs, but also highlighting other components that impact our business such as mental health parity); and </w:t>
      </w:r>
    </w:p>
    <w:p w:rsidR="00D85A09" w:rsidRPr="006640C6" w:rsidRDefault="00D85A09" w:rsidP="00D85A09">
      <w:pPr>
        <w:numPr>
          <w:ilvl w:val="0"/>
          <w:numId w:val="7"/>
        </w:numPr>
        <w:rPr>
          <w:rFonts w:ascii="Calibri" w:hAnsi="Calibri" w:cs="Calibri"/>
          <w:color w:val="000000"/>
        </w:rPr>
      </w:pPr>
      <w:r w:rsidRPr="006640C6">
        <w:rPr>
          <w:rFonts w:ascii="Calibri" w:hAnsi="Calibri" w:cs="Calibri"/>
          <w:color w:val="000000"/>
        </w:rPr>
        <w:t>What the DOL fiduciary rule, with its current language, would do to agents and brokers in the non-retirement product markets and the impact of its proposed delay.</w:t>
      </w:r>
      <w:r w:rsidRPr="006640C6">
        <w:rPr>
          <w:rFonts w:cs="Calibri"/>
          <w:b/>
          <w:bCs/>
          <w:color w:val="000000"/>
          <w:sz w:val="28"/>
          <w:szCs w:val="28"/>
        </w:rPr>
        <w:t xml:space="preserve"> </w:t>
      </w:r>
      <w:r w:rsidRPr="006640C6">
        <w:rPr>
          <w:rFonts w:cs="Calibri"/>
          <w:b/>
          <w:bCs/>
          <w:color w:val="000000"/>
          <w:sz w:val="28"/>
          <w:szCs w:val="28"/>
        </w:rPr>
        <w:br w:type="page"/>
      </w:r>
    </w:p>
    <w:p w:rsidR="00D85A09" w:rsidRDefault="00D85A09" w:rsidP="00D85A09">
      <w:pPr>
        <w:rPr>
          <w:rFonts w:cs="Calibri"/>
          <w:b/>
          <w:bCs/>
          <w:color w:val="000000"/>
          <w:sz w:val="28"/>
          <w:szCs w:val="28"/>
        </w:rPr>
      </w:pPr>
      <w:r>
        <w:rPr>
          <w:rFonts w:cs="Calibri"/>
          <w:b/>
          <w:bCs/>
          <w:color w:val="000000"/>
          <w:sz w:val="28"/>
          <w:szCs w:val="28"/>
        </w:rPr>
        <w:lastRenderedPageBreak/>
        <w:t>PRESENTER:</w:t>
      </w:r>
    </w:p>
    <w:p w:rsidR="00D85A09" w:rsidRDefault="00D85A09" w:rsidP="00D85A09">
      <w:pPr>
        <w:rPr>
          <w:rFonts w:cs="Calibri"/>
          <w:b/>
          <w:bCs/>
          <w:color w:val="000000"/>
          <w:sz w:val="28"/>
          <w:szCs w:val="28"/>
        </w:rPr>
      </w:pPr>
    </w:p>
    <w:p w:rsidR="006640C6" w:rsidRDefault="006640C6" w:rsidP="00D85A09">
      <w:pPr>
        <w:rPr>
          <w:b/>
          <w:bCs/>
        </w:rPr>
      </w:pPr>
      <w:r>
        <w:rPr>
          <w:b/>
          <w:bCs/>
        </w:rPr>
        <w:t>David C. Smith</w:t>
      </w:r>
    </w:p>
    <w:p w:rsidR="00D85A09" w:rsidRPr="006640C6" w:rsidRDefault="006640C6" w:rsidP="00D85A09">
      <w:pPr>
        <w:rPr>
          <w:bCs/>
        </w:rPr>
      </w:pPr>
      <w:r w:rsidRPr="006640C6">
        <w:rPr>
          <w:bCs/>
        </w:rPr>
        <w:t>Vice P</w:t>
      </w:r>
      <w:r w:rsidR="00D85A09" w:rsidRPr="006640C6">
        <w:rPr>
          <w:bCs/>
        </w:rPr>
        <w:t>resident of Health &amp; Welfare Benefits</w:t>
      </w:r>
      <w:r w:rsidRPr="006640C6">
        <w:rPr>
          <w:bCs/>
        </w:rPr>
        <w:t>,</w:t>
      </w:r>
      <w:r w:rsidR="00D85A09" w:rsidRPr="006640C6">
        <w:rPr>
          <w:bCs/>
        </w:rPr>
        <w:t xml:space="preserve"> </w:t>
      </w:r>
      <w:proofErr w:type="spellStart"/>
      <w:r w:rsidR="00D85A09" w:rsidRPr="006640C6">
        <w:rPr>
          <w:bCs/>
        </w:rPr>
        <w:t>Ebenconcepts</w:t>
      </w:r>
      <w:proofErr w:type="spellEnd"/>
    </w:p>
    <w:p w:rsidR="006640C6" w:rsidRDefault="006640C6" w:rsidP="006640C6">
      <w:pPr>
        <w:spacing w:after="120"/>
      </w:pPr>
    </w:p>
    <w:p w:rsidR="00D85A09" w:rsidRPr="00B86391" w:rsidRDefault="00D85A09" w:rsidP="006640C6">
      <w:pPr>
        <w:spacing w:after="120"/>
      </w:pPr>
      <w:r>
        <w:t>David</w:t>
      </w:r>
      <w:r w:rsidRPr="00B86391">
        <w:t xml:space="preserve"> has nearly 20 years of experience in employee benefits with regulatory, business and industry perspectives. </w:t>
      </w:r>
      <w:r>
        <w:t>He</w:t>
      </w:r>
      <w:r w:rsidRPr="00B86391">
        <w:t xml:space="preserve"> has spoken extensively about wellness and its nuances and is always highly rated as a speaker before diverse audiences. </w:t>
      </w:r>
    </w:p>
    <w:p w:rsidR="00D85A09" w:rsidRPr="006640C6" w:rsidRDefault="00D85A09" w:rsidP="006640C6">
      <w:pPr>
        <w:spacing w:after="120"/>
      </w:pPr>
      <w:r>
        <w:t xml:space="preserve">David also serves as </w:t>
      </w:r>
      <w:r w:rsidRPr="00B86391">
        <w:t>chairman of NAHU's Professional Development Committee</w:t>
      </w:r>
      <w:r>
        <w:t xml:space="preserve"> </w:t>
      </w:r>
    </w:p>
    <w:p w:rsidR="00BD0FFC" w:rsidRDefault="00BD0FFC" w:rsidP="00745E65">
      <w:pPr>
        <w:pStyle w:val="Default"/>
        <w:pageBreakBefore/>
        <w:rPr>
          <w:sz w:val="28"/>
          <w:szCs w:val="28"/>
        </w:rPr>
      </w:pPr>
      <w:r>
        <w:rPr>
          <w:b/>
          <w:bCs/>
          <w:sz w:val="28"/>
          <w:szCs w:val="28"/>
        </w:rPr>
        <w:lastRenderedPageBreak/>
        <w:t xml:space="preserve">TIMED OUTLINE </w:t>
      </w:r>
    </w:p>
    <w:p w:rsidR="006640C6" w:rsidRPr="006640C6" w:rsidRDefault="006640C6" w:rsidP="006640C6">
      <w:pPr>
        <w:pStyle w:val="ListParagraph"/>
        <w:numPr>
          <w:ilvl w:val="0"/>
          <w:numId w:val="4"/>
        </w:numPr>
        <w:rPr>
          <w:b/>
        </w:rPr>
      </w:pPr>
      <w:r w:rsidRPr="006640C6">
        <w:rPr>
          <w:b/>
        </w:rPr>
        <w:t>Introduction (2 min)</w:t>
      </w:r>
    </w:p>
    <w:p w:rsidR="006640C6" w:rsidRPr="006640C6" w:rsidRDefault="006640C6" w:rsidP="006640C6">
      <w:pPr>
        <w:pStyle w:val="ListParagraph"/>
        <w:numPr>
          <w:ilvl w:val="0"/>
          <w:numId w:val="4"/>
        </w:numPr>
        <w:rPr>
          <w:b/>
        </w:rPr>
      </w:pPr>
      <w:r w:rsidRPr="006640C6">
        <w:rPr>
          <w:b/>
        </w:rPr>
        <w:t>Qualified Small Employer Health Reimbursement Arrangements</w:t>
      </w:r>
      <w:r>
        <w:rPr>
          <w:b/>
        </w:rPr>
        <w:t xml:space="preserve"> (38 minutes)</w:t>
      </w:r>
    </w:p>
    <w:p w:rsidR="006640C6" w:rsidRDefault="006640C6" w:rsidP="006640C6">
      <w:pPr>
        <w:pStyle w:val="ListParagraph"/>
        <w:numPr>
          <w:ilvl w:val="1"/>
          <w:numId w:val="4"/>
        </w:numPr>
      </w:pPr>
      <w:r>
        <w:t>Integrated vs. Standalone HRA Background (5 min)</w:t>
      </w:r>
    </w:p>
    <w:p w:rsidR="006640C6" w:rsidRDefault="006640C6" w:rsidP="006640C6">
      <w:pPr>
        <w:pStyle w:val="ListParagraph"/>
        <w:numPr>
          <w:ilvl w:val="1"/>
          <w:numId w:val="4"/>
        </w:numPr>
      </w:pPr>
      <w:r>
        <w:t>Requirements and Benefits of QSE HRA (10 min)</w:t>
      </w:r>
    </w:p>
    <w:p w:rsidR="006640C6" w:rsidRDefault="006640C6" w:rsidP="006640C6">
      <w:pPr>
        <w:pStyle w:val="ListParagraph"/>
        <w:numPr>
          <w:ilvl w:val="1"/>
          <w:numId w:val="4"/>
        </w:numPr>
      </w:pPr>
      <w:r>
        <w:t>Outstanding Compliance Questions (3)</w:t>
      </w:r>
    </w:p>
    <w:p w:rsidR="006640C6" w:rsidRDefault="006640C6" w:rsidP="006640C6">
      <w:pPr>
        <w:pStyle w:val="ListParagraph"/>
        <w:numPr>
          <w:ilvl w:val="1"/>
          <w:numId w:val="4"/>
        </w:numPr>
      </w:pPr>
      <w:r>
        <w:t>Impact of Employer Affordability on QSE HRA (10 min)</w:t>
      </w:r>
    </w:p>
    <w:p w:rsidR="006640C6" w:rsidRDefault="006640C6" w:rsidP="006640C6">
      <w:pPr>
        <w:pStyle w:val="ListParagraph"/>
        <w:numPr>
          <w:ilvl w:val="1"/>
          <w:numId w:val="4"/>
        </w:numPr>
      </w:pPr>
      <w:r>
        <w:t>Cost Options for Small Employers (5 min)</w:t>
      </w:r>
    </w:p>
    <w:p w:rsidR="006640C6" w:rsidRDefault="006640C6" w:rsidP="006640C6">
      <w:pPr>
        <w:pStyle w:val="ListParagraph"/>
        <w:numPr>
          <w:ilvl w:val="1"/>
          <w:numId w:val="4"/>
        </w:numPr>
      </w:pPr>
      <w:r>
        <w:t>Questions (5 min)</w:t>
      </w:r>
    </w:p>
    <w:p w:rsidR="006640C6" w:rsidRPr="006640C6" w:rsidRDefault="006640C6" w:rsidP="006640C6">
      <w:pPr>
        <w:pStyle w:val="ListParagraph"/>
        <w:numPr>
          <w:ilvl w:val="0"/>
          <w:numId w:val="4"/>
        </w:numPr>
        <w:rPr>
          <w:b/>
        </w:rPr>
      </w:pPr>
      <w:r w:rsidRPr="006640C6">
        <w:rPr>
          <w:b/>
        </w:rPr>
        <w:t>Other Provisions of 21</w:t>
      </w:r>
      <w:r w:rsidRPr="006640C6">
        <w:rPr>
          <w:b/>
          <w:vertAlign w:val="superscript"/>
        </w:rPr>
        <w:t>st</w:t>
      </w:r>
      <w:r w:rsidRPr="006640C6">
        <w:rPr>
          <w:b/>
        </w:rPr>
        <w:t xml:space="preserve"> Century Cures Act</w:t>
      </w:r>
      <w:r>
        <w:rPr>
          <w:b/>
        </w:rPr>
        <w:t xml:space="preserve"> (5 minutes)</w:t>
      </w:r>
    </w:p>
    <w:p w:rsidR="006640C6" w:rsidRDefault="006640C6" w:rsidP="006640C6">
      <w:pPr>
        <w:pStyle w:val="ListParagraph"/>
        <w:numPr>
          <w:ilvl w:val="1"/>
          <w:numId w:val="4"/>
        </w:numPr>
      </w:pPr>
      <w:r>
        <w:t>Medicare OE Changes (4 min)</w:t>
      </w:r>
    </w:p>
    <w:p w:rsidR="006640C6" w:rsidRDefault="006640C6" w:rsidP="006640C6">
      <w:pPr>
        <w:pStyle w:val="ListParagraph"/>
        <w:numPr>
          <w:ilvl w:val="1"/>
          <w:numId w:val="4"/>
        </w:numPr>
      </w:pPr>
      <w:r>
        <w:t>Mental Health Parity Act Enforcement (1 min)</w:t>
      </w:r>
    </w:p>
    <w:p w:rsidR="006640C6" w:rsidRPr="006640C6" w:rsidRDefault="006640C6" w:rsidP="006640C6">
      <w:pPr>
        <w:pStyle w:val="ListParagraph"/>
        <w:numPr>
          <w:ilvl w:val="0"/>
          <w:numId w:val="4"/>
        </w:numPr>
        <w:rPr>
          <w:b/>
        </w:rPr>
      </w:pPr>
      <w:r w:rsidRPr="006640C6">
        <w:rPr>
          <w:b/>
        </w:rPr>
        <w:t>Fiduciary Rule Impact on Benefit Agents &amp; Brokers</w:t>
      </w:r>
      <w:r>
        <w:rPr>
          <w:b/>
        </w:rPr>
        <w:t xml:space="preserve"> (15 minutes)</w:t>
      </w:r>
    </w:p>
    <w:p w:rsidR="006640C6" w:rsidRDefault="006640C6" w:rsidP="006640C6">
      <w:pPr>
        <w:pStyle w:val="ListParagraph"/>
        <w:numPr>
          <w:ilvl w:val="1"/>
          <w:numId w:val="4"/>
        </w:numPr>
      </w:pPr>
      <w:r>
        <w:t>Background on Rule and Overall Intent (5 min)</w:t>
      </w:r>
    </w:p>
    <w:p w:rsidR="006640C6" w:rsidRDefault="006640C6" w:rsidP="006640C6">
      <w:pPr>
        <w:pStyle w:val="ListParagraph"/>
        <w:numPr>
          <w:ilvl w:val="1"/>
          <w:numId w:val="4"/>
        </w:numPr>
      </w:pPr>
      <w:r>
        <w:t>Review of HSA-related compliance issues created by regulation (5 min)</w:t>
      </w:r>
    </w:p>
    <w:p w:rsidR="006640C6" w:rsidRDefault="006640C6" w:rsidP="006640C6">
      <w:pPr>
        <w:pStyle w:val="ListParagraph"/>
        <w:numPr>
          <w:ilvl w:val="1"/>
          <w:numId w:val="4"/>
        </w:numPr>
      </w:pPr>
      <w:r>
        <w:t>Questions (5 min)</w:t>
      </w:r>
    </w:p>
    <w:sectPr w:rsidR="006640C6"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02453125"/>
    <w:multiLevelType w:val="multilevel"/>
    <w:tmpl w:val="270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B771581"/>
    <w:multiLevelType w:val="hybridMultilevel"/>
    <w:tmpl w:val="321A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32DC8"/>
    <w:multiLevelType w:val="multilevel"/>
    <w:tmpl w:val="FBAA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3"/>
  </w:num>
  <w:num w:numId="5">
    <w:abstractNumId w:val="7"/>
  </w:num>
  <w:num w:numId="6">
    <w:abstractNumId w:val="2"/>
  </w:num>
  <w:num w:numId="7">
    <w:abstractNumId w:val="6"/>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0FFC"/>
    <w:rsid w:val="000002CC"/>
    <w:rsid w:val="0000032C"/>
    <w:rsid w:val="000008F8"/>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863"/>
    <w:rsid w:val="0005308A"/>
    <w:rsid w:val="000531E4"/>
    <w:rsid w:val="00053F6C"/>
    <w:rsid w:val="000544DC"/>
    <w:rsid w:val="000551BB"/>
    <w:rsid w:val="000557B9"/>
    <w:rsid w:val="0006108D"/>
    <w:rsid w:val="00061862"/>
    <w:rsid w:val="000620FF"/>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31A7"/>
    <w:rsid w:val="001B3319"/>
    <w:rsid w:val="001B33F4"/>
    <w:rsid w:val="001B5CDD"/>
    <w:rsid w:val="001B7363"/>
    <w:rsid w:val="001B7E4B"/>
    <w:rsid w:val="001B7F46"/>
    <w:rsid w:val="001C0AB5"/>
    <w:rsid w:val="001C34ED"/>
    <w:rsid w:val="001C35C3"/>
    <w:rsid w:val="001C4D4A"/>
    <w:rsid w:val="001C7922"/>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2DF9"/>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40C6"/>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42BC"/>
    <w:rsid w:val="0069434B"/>
    <w:rsid w:val="00695222"/>
    <w:rsid w:val="006958A8"/>
    <w:rsid w:val="006961DC"/>
    <w:rsid w:val="006971FD"/>
    <w:rsid w:val="006A0CE2"/>
    <w:rsid w:val="006A2369"/>
    <w:rsid w:val="006A39F6"/>
    <w:rsid w:val="006A40CD"/>
    <w:rsid w:val="006A4F3A"/>
    <w:rsid w:val="006A5632"/>
    <w:rsid w:val="006A59B1"/>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FFC"/>
    <w:rsid w:val="009D61C6"/>
    <w:rsid w:val="009D66A5"/>
    <w:rsid w:val="009D7ABB"/>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412"/>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0AF1"/>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09"/>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0870"/>
    <w:rsid w:val="00F22312"/>
    <w:rsid w:val="00F23ECF"/>
    <w:rsid w:val="00F262A8"/>
    <w:rsid w:val="00F264F6"/>
    <w:rsid w:val="00F30221"/>
    <w:rsid w:val="00F303EA"/>
    <w:rsid w:val="00F30970"/>
    <w:rsid w:val="00F3099F"/>
    <w:rsid w:val="00F310FC"/>
    <w:rsid w:val="00F334CE"/>
    <w:rsid w:val="00F33FA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5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D85A09"/>
    <w:pPr>
      <w:ind w:left="720"/>
      <w:contextualSpacing/>
    </w:pPr>
  </w:style>
  <w:style w:type="character" w:customStyle="1" w:styleId="p">
    <w:name w:val="p"/>
    <w:basedOn w:val="DefaultParagraphFont"/>
    <w:rsid w:val="00D85A09"/>
  </w:style>
</w:styles>
</file>

<file path=word/webSettings.xml><?xml version="1.0" encoding="utf-8"?>
<w:webSettings xmlns:r="http://schemas.openxmlformats.org/officeDocument/2006/relationships" xmlns:w="http://schemas.openxmlformats.org/wordprocessingml/2006/main">
  <w:divs>
    <w:div w:id="66728624">
      <w:bodyDiv w:val="1"/>
      <w:marLeft w:val="0"/>
      <w:marRight w:val="0"/>
      <w:marTop w:val="0"/>
      <w:marBottom w:val="0"/>
      <w:divBdr>
        <w:top w:val="none" w:sz="0" w:space="0" w:color="auto"/>
        <w:left w:val="none" w:sz="0" w:space="0" w:color="auto"/>
        <w:bottom w:val="none" w:sz="0" w:space="0" w:color="auto"/>
        <w:right w:val="none" w:sz="0" w:space="0" w:color="auto"/>
      </w:divBdr>
    </w:div>
    <w:div w:id="90703068">
      <w:bodyDiv w:val="1"/>
      <w:marLeft w:val="0"/>
      <w:marRight w:val="0"/>
      <w:marTop w:val="0"/>
      <w:marBottom w:val="0"/>
      <w:divBdr>
        <w:top w:val="none" w:sz="0" w:space="0" w:color="auto"/>
        <w:left w:val="none" w:sz="0" w:space="0" w:color="auto"/>
        <w:bottom w:val="none" w:sz="0" w:space="0" w:color="auto"/>
        <w:right w:val="none" w:sz="0" w:space="0" w:color="auto"/>
      </w:divBdr>
    </w:div>
    <w:div w:id="161586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5</cp:revision>
  <dcterms:created xsi:type="dcterms:W3CDTF">2017-03-28T17:00:00Z</dcterms:created>
  <dcterms:modified xsi:type="dcterms:W3CDTF">2017-03-28T17:58:00Z</dcterms:modified>
</cp:coreProperties>
</file>