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DA7" w:rsidRDefault="00BD0FFC" w:rsidP="00BD0FFC">
      <w:pPr>
        <w:pStyle w:val="Default"/>
        <w:rPr>
          <w:sz w:val="52"/>
          <w:szCs w:val="52"/>
        </w:rPr>
      </w:pPr>
      <w:r>
        <w:rPr>
          <w:sz w:val="52"/>
          <w:szCs w:val="52"/>
        </w:rPr>
        <w:t xml:space="preserve">Live from NAHU: </w:t>
      </w:r>
      <w:r w:rsidR="00C379CB">
        <w:rPr>
          <w:sz w:val="52"/>
          <w:szCs w:val="52"/>
        </w:rPr>
        <w:t>Maintaining Compliance Amidst Health Law’s</w:t>
      </w:r>
      <w:r w:rsidR="00E33DA7">
        <w:rPr>
          <w:sz w:val="52"/>
          <w:szCs w:val="52"/>
        </w:rPr>
        <w:t xml:space="preserve"> Legal Challenges</w:t>
      </w:r>
    </w:p>
    <w:p w:rsidR="00C379CB" w:rsidRDefault="00C379CB" w:rsidP="00C50FAA">
      <w:pPr>
        <w:pStyle w:val="Default"/>
        <w:rPr>
          <w:b/>
          <w:bCs/>
          <w:sz w:val="32"/>
          <w:szCs w:val="32"/>
        </w:rPr>
      </w:pPr>
    </w:p>
    <w:p w:rsidR="00C50FAA" w:rsidRDefault="00E33DA7" w:rsidP="00C50FAA">
      <w:pPr>
        <w:pStyle w:val="Default"/>
        <w:rPr>
          <w:sz w:val="32"/>
          <w:szCs w:val="32"/>
        </w:rPr>
      </w:pPr>
      <w:r>
        <w:rPr>
          <w:b/>
          <w:bCs/>
          <w:sz w:val="32"/>
          <w:szCs w:val="32"/>
        </w:rPr>
        <w:t>June 20</w:t>
      </w:r>
      <w:r w:rsidR="004162DB">
        <w:rPr>
          <w:b/>
          <w:bCs/>
          <w:sz w:val="32"/>
          <w:szCs w:val="32"/>
        </w:rPr>
        <w:t>, 201</w:t>
      </w:r>
      <w:r w:rsidR="000D04DB">
        <w:rPr>
          <w:b/>
          <w:bCs/>
          <w:sz w:val="32"/>
          <w:szCs w:val="32"/>
        </w:rPr>
        <w:t>9</w:t>
      </w:r>
    </w:p>
    <w:p w:rsidR="00C50FAA" w:rsidRDefault="00C50FAA"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C379CB" w:rsidRPr="00C379CB" w:rsidRDefault="00BD0FFC" w:rsidP="00BD0FFC">
      <w:pPr>
        <w:pStyle w:val="Default"/>
        <w:rPr>
          <w:sz w:val="22"/>
          <w:szCs w:val="22"/>
        </w:rPr>
      </w:pPr>
      <w:r w:rsidRPr="00C379CB">
        <w:rPr>
          <w:b/>
          <w:bCs/>
          <w:sz w:val="22"/>
          <w:szCs w:val="22"/>
        </w:rPr>
        <w:t xml:space="preserve">Course Overview: </w:t>
      </w:r>
      <w:r w:rsidR="009E0650" w:rsidRPr="00C379CB">
        <w:rPr>
          <w:sz w:val="22"/>
          <w:szCs w:val="22"/>
        </w:rPr>
        <w:t xml:space="preserve">During this course, participants will learn about </w:t>
      </w:r>
      <w:r w:rsidR="00C379CB" w:rsidRPr="00C379CB">
        <w:rPr>
          <w:sz w:val="22"/>
          <w:szCs w:val="22"/>
        </w:rPr>
        <w:t xml:space="preserve">the ongoing legal challenges to the ACA as well as the legal challenges to recent regulatory reforms of the ACA implemented by the Trump Administration. The course will examine the key cases and arguments, status of the decisions, timelines for the challenges moving forward, the role </w:t>
      </w:r>
      <w:r w:rsidR="00C379CB" w:rsidRPr="00C379CB">
        <w:rPr>
          <w:sz w:val="22"/>
          <w:szCs w:val="22"/>
        </w:rPr>
        <w:t xml:space="preserve">that NAHU is having in this process, and what NAHU members, the overall agent/broker community, and employers </w:t>
      </w:r>
      <w:r w:rsidR="00C379CB" w:rsidRPr="00C379CB">
        <w:rPr>
          <w:sz w:val="22"/>
          <w:szCs w:val="22"/>
        </w:rPr>
        <w:t>should know as these challenges continue through the courts</w:t>
      </w:r>
      <w:r w:rsidR="00C379CB" w:rsidRPr="00C379CB">
        <w:rPr>
          <w:sz w:val="22"/>
          <w:szCs w:val="22"/>
        </w:rPr>
        <w:t>.</w:t>
      </w:r>
    </w:p>
    <w:p w:rsidR="00BD0FFC" w:rsidRPr="00C379CB" w:rsidRDefault="00BD0FFC" w:rsidP="00BD0FFC">
      <w:pPr>
        <w:pStyle w:val="Default"/>
        <w:rPr>
          <w:b/>
          <w:bCs/>
          <w:sz w:val="22"/>
          <w:szCs w:val="22"/>
        </w:rPr>
      </w:pPr>
    </w:p>
    <w:p w:rsidR="00BD0FFC" w:rsidRPr="00C379CB" w:rsidRDefault="00BD0FFC" w:rsidP="00BD0FFC">
      <w:pPr>
        <w:pStyle w:val="Default"/>
        <w:rPr>
          <w:sz w:val="22"/>
          <w:szCs w:val="22"/>
        </w:rPr>
      </w:pPr>
      <w:r w:rsidRPr="00C379CB">
        <w:rPr>
          <w:b/>
          <w:bCs/>
          <w:sz w:val="22"/>
          <w:szCs w:val="22"/>
        </w:rPr>
        <w:t xml:space="preserve">Learning Objectives: </w:t>
      </w:r>
      <w:r w:rsidRPr="00C379CB">
        <w:rPr>
          <w:sz w:val="22"/>
          <w:szCs w:val="22"/>
        </w:rPr>
        <w:t>Upon completion of the co</w:t>
      </w:r>
      <w:r w:rsidR="00E319ED" w:rsidRPr="00C379CB">
        <w:rPr>
          <w:sz w:val="22"/>
          <w:szCs w:val="22"/>
        </w:rPr>
        <w:t>urse, the participant will know:</w:t>
      </w:r>
    </w:p>
    <w:p w:rsidR="00C379CB" w:rsidRPr="00C379CB" w:rsidRDefault="009E0650" w:rsidP="009E0650">
      <w:pPr>
        <w:pStyle w:val="Default"/>
        <w:numPr>
          <w:ilvl w:val="0"/>
          <w:numId w:val="5"/>
        </w:numPr>
        <w:rPr>
          <w:sz w:val="22"/>
          <w:szCs w:val="22"/>
        </w:rPr>
      </w:pPr>
      <w:r w:rsidRPr="00C379CB">
        <w:rPr>
          <w:sz w:val="22"/>
          <w:szCs w:val="22"/>
        </w:rPr>
        <w:t xml:space="preserve">The </w:t>
      </w:r>
      <w:r w:rsidR="00C379CB" w:rsidRPr="00C379CB">
        <w:rPr>
          <w:sz w:val="22"/>
          <w:szCs w:val="22"/>
        </w:rPr>
        <w:t xml:space="preserve">legal challenge of </w:t>
      </w:r>
      <w:r w:rsidR="00C379CB" w:rsidRPr="00C379CB">
        <w:rPr>
          <w:i/>
          <w:sz w:val="22"/>
          <w:szCs w:val="22"/>
        </w:rPr>
        <w:t>Texas v. United States</w:t>
      </w:r>
      <w:r w:rsidR="00C379CB" w:rsidRPr="00C379CB">
        <w:rPr>
          <w:sz w:val="22"/>
          <w:szCs w:val="22"/>
        </w:rPr>
        <w:t>, challenging the ACA’s constitutionality with regards to the zeroing of the individual mandate penalty</w:t>
      </w:r>
      <w:r w:rsidR="00C379CB">
        <w:rPr>
          <w:sz w:val="22"/>
          <w:szCs w:val="22"/>
        </w:rPr>
        <w:t>;</w:t>
      </w:r>
    </w:p>
    <w:p w:rsidR="00C379CB" w:rsidRDefault="00C379CB" w:rsidP="009E0650">
      <w:pPr>
        <w:pStyle w:val="Default"/>
        <w:numPr>
          <w:ilvl w:val="0"/>
          <w:numId w:val="5"/>
        </w:numPr>
        <w:rPr>
          <w:sz w:val="22"/>
          <w:szCs w:val="22"/>
        </w:rPr>
      </w:pPr>
      <w:r w:rsidRPr="00C379CB">
        <w:rPr>
          <w:sz w:val="22"/>
          <w:szCs w:val="22"/>
        </w:rPr>
        <w:t>The legal challenges to the Trump Administration’s regulatory reforms stemming from the October 2017 executive order providing for the implementation of Association Health Plans, Short-Term Plans, and Health Re</w:t>
      </w:r>
      <w:r>
        <w:rPr>
          <w:sz w:val="22"/>
          <w:szCs w:val="22"/>
        </w:rPr>
        <w:t>imbursement Arrangement reforms;</w:t>
      </w:r>
    </w:p>
    <w:p w:rsidR="00C379CB" w:rsidRDefault="00C379CB" w:rsidP="009E0650">
      <w:pPr>
        <w:pStyle w:val="Default"/>
        <w:numPr>
          <w:ilvl w:val="0"/>
          <w:numId w:val="5"/>
        </w:numPr>
        <w:rPr>
          <w:sz w:val="22"/>
          <w:szCs w:val="22"/>
        </w:rPr>
      </w:pPr>
      <w:r>
        <w:rPr>
          <w:sz w:val="22"/>
          <w:szCs w:val="22"/>
        </w:rPr>
        <w:t>Key considerations for maintaining compliance throughout the legal challenges as decisions are announced at various levels;</w:t>
      </w:r>
    </w:p>
    <w:p w:rsidR="00C379CB" w:rsidRPr="00C379CB" w:rsidRDefault="00C379CB" w:rsidP="009E0650">
      <w:pPr>
        <w:pStyle w:val="Default"/>
        <w:numPr>
          <w:ilvl w:val="0"/>
          <w:numId w:val="5"/>
        </w:numPr>
        <w:rPr>
          <w:sz w:val="22"/>
          <w:szCs w:val="22"/>
        </w:rPr>
      </w:pPr>
      <w:r w:rsidRPr="00C379CB">
        <w:rPr>
          <w:sz w:val="22"/>
          <w:szCs w:val="22"/>
        </w:rPr>
        <w:t>Anticipated outcomes of the legal challenges and what to consider for maintaining compliance;</w:t>
      </w:r>
    </w:p>
    <w:p w:rsidR="00C379CB" w:rsidRPr="00C379CB" w:rsidRDefault="00C379CB" w:rsidP="009E0650">
      <w:pPr>
        <w:pStyle w:val="Default"/>
        <w:numPr>
          <w:ilvl w:val="0"/>
          <w:numId w:val="5"/>
        </w:numPr>
        <w:rPr>
          <w:sz w:val="22"/>
          <w:szCs w:val="22"/>
        </w:rPr>
      </w:pPr>
      <w:r w:rsidRPr="00C379CB">
        <w:rPr>
          <w:sz w:val="22"/>
          <w:szCs w:val="22"/>
        </w:rPr>
        <w:t xml:space="preserve">Tools and resources for becoming active and engaged </w:t>
      </w:r>
      <w:r>
        <w:rPr>
          <w:sz w:val="22"/>
          <w:szCs w:val="22"/>
        </w:rPr>
        <w:t>as health reform challenges continue to be considered through the legal process</w:t>
      </w:r>
      <w:r w:rsidRPr="00C379CB">
        <w:rPr>
          <w:sz w:val="22"/>
          <w:szCs w:val="22"/>
        </w:rPr>
        <w:t>.</w:t>
      </w:r>
    </w:p>
    <w:p w:rsidR="00C50FAA" w:rsidRPr="009E0650" w:rsidRDefault="00C50FAA" w:rsidP="009E0650">
      <w:pPr>
        <w:pStyle w:val="Default"/>
        <w:numPr>
          <w:ilvl w:val="0"/>
          <w:numId w:val="5"/>
        </w:numPr>
        <w:rPr>
          <w:sz w:val="22"/>
          <w:szCs w:val="22"/>
        </w:rPr>
      </w:pPr>
      <w:r>
        <w:br w:type="page"/>
      </w:r>
    </w:p>
    <w:p w:rsidR="00C50FAA" w:rsidRDefault="00C50FAA" w:rsidP="00C50FAA">
      <w:pPr>
        <w:rPr>
          <w:rFonts w:cs="Calibri"/>
          <w:b/>
          <w:bCs/>
          <w:color w:val="000000"/>
          <w:sz w:val="28"/>
          <w:szCs w:val="28"/>
        </w:rPr>
      </w:pPr>
      <w:r>
        <w:rPr>
          <w:rFonts w:cs="Calibri"/>
          <w:b/>
          <w:bCs/>
          <w:color w:val="000000"/>
          <w:sz w:val="28"/>
          <w:szCs w:val="28"/>
        </w:rPr>
        <w:lastRenderedPageBreak/>
        <w:t>PRESENTER:</w:t>
      </w:r>
    </w:p>
    <w:p w:rsidR="00C50FAA" w:rsidRPr="00054786" w:rsidRDefault="00C50FAA" w:rsidP="00C50FAA">
      <w:pPr>
        <w:rPr>
          <w:rFonts w:cs="Calibri"/>
          <w:b/>
          <w:bCs/>
          <w:color w:val="000000"/>
        </w:rPr>
      </w:pPr>
    </w:p>
    <w:p w:rsidR="00E41613" w:rsidRPr="00054786" w:rsidRDefault="00E41613" w:rsidP="00E41613">
      <w:pPr>
        <w:rPr>
          <w:rFonts w:cs="Calibri"/>
          <w:b/>
          <w:bCs/>
          <w:color w:val="000000"/>
        </w:rPr>
      </w:pPr>
      <w:r>
        <w:rPr>
          <w:rFonts w:cs="Calibri"/>
          <w:b/>
          <w:bCs/>
          <w:color w:val="000000"/>
        </w:rPr>
        <w:t>Marcy M. Buckner</w:t>
      </w:r>
    </w:p>
    <w:p w:rsidR="00E41613" w:rsidRPr="00054786" w:rsidRDefault="00E41613" w:rsidP="00E41613">
      <w:pPr>
        <w:rPr>
          <w:rFonts w:cs="Calibri"/>
          <w:bCs/>
          <w:color w:val="000000"/>
        </w:rPr>
      </w:pPr>
      <w:r>
        <w:rPr>
          <w:rFonts w:cs="Calibri"/>
          <w:bCs/>
          <w:color w:val="000000"/>
        </w:rPr>
        <w:t>Vice President of Government Affairs, NAHU</w:t>
      </w:r>
    </w:p>
    <w:p w:rsidR="00E41613" w:rsidRPr="00054786" w:rsidRDefault="00E41613" w:rsidP="00E41613">
      <w:pPr>
        <w:rPr>
          <w:rFonts w:cs="Calibri"/>
          <w:b/>
          <w:bCs/>
          <w:color w:val="000000"/>
        </w:rPr>
      </w:pPr>
    </w:p>
    <w:p w:rsidR="00E41613" w:rsidRPr="003676D9" w:rsidRDefault="00E41613" w:rsidP="00E41613">
      <w:pPr>
        <w:spacing w:after="120"/>
      </w:pPr>
      <w:r w:rsidRPr="003676D9">
        <w:t>Marcy M. Buckner, J.D., is the vice president of government affairs with the National Association of Health Underwriters (NAHU). In this role, Marcy manages the association’s state government affairs team, including the monitoring of activities of all state legislatures, insurance departments, and intergovernmental organizations to coordinate efforts to advance the interests of professional health insurance producers. In addition, she serves as the association’s liaison to federal agencies such as the Department of Health and Human Services, Centers for Medicare and Medicaid Services, Internal Revenue Service, and the Department of Treasury. Marcy is also the staff liaison to NAHU’s legislative management team, Legislative Council, and Legislative Council working groups.</w:t>
      </w:r>
    </w:p>
    <w:p w:rsidR="00E41613" w:rsidRPr="003676D9" w:rsidRDefault="00E41613" w:rsidP="00E41613">
      <w:pPr>
        <w:spacing w:after="120"/>
      </w:pPr>
      <w:r w:rsidRPr="003676D9">
        <w:t>Marcy received her Juris Doctor from New England School of Law in Boston, Massachusetts, and her Bachelor of Arts degree in Political Science and History from the College of Charleston in South Carolina.</w:t>
      </w:r>
    </w:p>
    <w:p w:rsidR="00E41613" w:rsidRPr="003676D9" w:rsidRDefault="00E41613" w:rsidP="00E41613">
      <w:pPr>
        <w:spacing w:after="120"/>
      </w:pPr>
      <w:r w:rsidRPr="003676D9">
        <w:t>When she’s not in the office or traveling the country speaking at healthcare symposiums, Marcy spends time introducing her rescue Cavalier King Charles Spaniel, Harrison, to city life.</w:t>
      </w:r>
    </w:p>
    <w:p w:rsidR="00C50FAA" w:rsidRDefault="00C50FAA" w:rsidP="00C50FAA">
      <w:pPr>
        <w:pStyle w:val="Default"/>
        <w:rPr>
          <w:bCs/>
        </w:rPr>
      </w:pPr>
    </w:p>
    <w:p w:rsidR="002B66D7" w:rsidRPr="002B66D7" w:rsidRDefault="002B66D7" w:rsidP="00C50FAA">
      <w:pPr>
        <w:pStyle w:val="Default"/>
        <w:rPr>
          <w:sz w:val="22"/>
          <w:szCs w:val="22"/>
        </w:rPr>
      </w:pPr>
    </w:p>
    <w:p w:rsidR="00BD0FFC" w:rsidRDefault="00BD0FFC" w:rsidP="00745E65">
      <w:pPr>
        <w:pStyle w:val="Default"/>
        <w:pageBreakBefore/>
        <w:rPr>
          <w:sz w:val="28"/>
          <w:szCs w:val="28"/>
        </w:rPr>
      </w:pPr>
      <w:r>
        <w:rPr>
          <w:b/>
          <w:bCs/>
          <w:sz w:val="28"/>
          <w:szCs w:val="28"/>
        </w:rPr>
        <w:lastRenderedPageBreak/>
        <w:t xml:space="preserve">TIMED OUTLINE </w:t>
      </w:r>
    </w:p>
    <w:p w:rsidR="00C379CB" w:rsidRPr="00944AC4" w:rsidRDefault="00C379CB" w:rsidP="009E0650">
      <w:pPr>
        <w:pStyle w:val="Default"/>
        <w:numPr>
          <w:ilvl w:val="0"/>
          <w:numId w:val="4"/>
        </w:numPr>
        <w:rPr>
          <w:b/>
          <w:sz w:val="22"/>
          <w:szCs w:val="22"/>
        </w:rPr>
      </w:pPr>
      <w:r w:rsidRPr="00944AC4">
        <w:rPr>
          <w:b/>
          <w:sz w:val="22"/>
          <w:szCs w:val="22"/>
        </w:rPr>
        <w:t xml:space="preserve">Overview of the Major Legal Challenges </w:t>
      </w:r>
      <w:r w:rsidRPr="00944AC4">
        <w:rPr>
          <w:sz w:val="22"/>
          <w:szCs w:val="22"/>
        </w:rPr>
        <w:t>(5 minutes)</w:t>
      </w:r>
    </w:p>
    <w:p w:rsidR="00C379CB" w:rsidRPr="00944AC4" w:rsidRDefault="00C379CB" w:rsidP="00C379CB">
      <w:pPr>
        <w:pStyle w:val="Default"/>
        <w:numPr>
          <w:ilvl w:val="1"/>
          <w:numId w:val="4"/>
        </w:numPr>
        <w:rPr>
          <w:sz w:val="22"/>
          <w:szCs w:val="22"/>
        </w:rPr>
      </w:pPr>
      <w:r w:rsidRPr="00944AC4">
        <w:rPr>
          <w:sz w:val="22"/>
          <w:szCs w:val="22"/>
        </w:rPr>
        <w:t>Texas v. United States</w:t>
      </w:r>
    </w:p>
    <w:p w:rsidR="00C379CB" w:rsidRPr="00944AC4" w:rsidRDefault="00C379CB" w:rsidP="00C379CB">
      <w:pPr>
        <w:pStyle w:val="Default"/>
        <w:numPr>
          <w:ilvl w:val="1"/>
          <w:numId w:val="4"/>
        </w:numPr>
        <w:rPr>
          <w:sz w:val="22"/>
          <w:szCs w:val="22"/>
        </w:rPr>
      </w:pPr>
      <w:r w:rsidRPr="00944AC4">
        <w:rPr>
          <w:sz w:val="22"/>
          <w:szCs w:val="22"/>
        </w:rPr>
        <w:t>Association Health Plans</w:t>
      </w:r>
    </w:p>
    <w:p w:rsidR="00C379CB" w:rsidRPr="00944AC4" w:rsidRDefault="00C379CB" w:rsidP="00C379CB">
      <w:pPr>
        <w:pStyle w:val="Default"/>
        <w:numPr>
          <w:ilvl w:val="1"/>
          <w:numId w:val="4"/>
        </w:numPr>
        <w:rPr>
          <w:sz w:val="22"/>
          <w:szCs w:val="22"/>
        </w:rPr>
      </w:pPr>
      <w:r w:rsidRPr="00944AC4">
        <w:rPr>
          <w:sz w:val="22"/>
          <w:szCs w:val="22"/>
        </w:rPr>
        <w:t>Short-Term Plans</w:t>
      </w:r>
    </w:p>
    <w:p w:rsidR="00944AC4" w:rsidRDefault="00944AC4" w:rsidP="00C379CB">
      <w:pPr>
        <w:pStyle w:val="Default"/>
        <w:numPr>
          <w:ilvl w:val="1"/>
          <w:numId w:val="4"/>
        </w:numPr>
        <w:rPr>
          <w:sz w:val="22"/>
          <w:szCs w:val="22"/>
        </w:rPr>
      </w:pPr>
      <w:r w:rsidRPr="00944AC4">
        <w:rPr>
          <w:sz w:val="22"/>
          <w:szCs w:val="22"/>
        </w:rPr>
        <w:t xml:space="preserve">Other </w:t>
      </w:r>
      <w:r>
        <w:rPr>
          <w:sz w:val="22"/>
          <w:szCs w:val="22"/>
        </w:rPr>
        <w:t xml:space="preserve">legal </w:t>
      </w:r>
      <w:r w:rsidRPr="00944AC4">
        <w:rPr>
          <w:sz w:val="22"/>
          <w:szCs w:val="22"/>
        </w:rPr>
        <w:t>challenges</w:t>
      </w:r>
    </w:p>
    <w:p w:rsidR="00944AC4" w:rsidRPr="00944AC4" w:rsidRDefault="00944AC4" w:rsidP="009E0650">
      <w:pPr>
        <w:pStyle w:val="Default"/>
        <w:numPr>
          <w:ilvl w:val="0"/>
          <w:numId w:val="4"/>
        </w:numPr>
        <w:rPr>
          <w:b/>
          <w:sz w:val="22"/>
          <w:szCs w:val="22"/>
        </w:rPr>
      </w:pPr>
      <w:r>
        <w:rPr>
          <w:b/>
          <w:sz w:val="22"/>
          <w:szCs w:val="22"/>
        </w:rPr>
        <w:t xml:space="preserve">Texas v. United States </w:t>
      </w:r>
      <w:r w:rsidRPr="00944AC4">
        <w:rPr>
          <w:sz w:val="22"/>
          <w:szCs w:val="22"/>
        </w:rPr>
        <w:t>(10 minutes)</w:t>
      </w:r>
    </w:p>
    <w:p w:rsidR="00944AC4" w:rsidRDefault="00944AC4" w:rsidP="00944AC4">
      <w:pPr>
        <w:pStyle w:val="Default"/>
        <w:numPr>
          <w:ilvl w:val="1"/>
          <w:numId w:val="4"/>
        </w:numPr>
        <w:rPr>
          <w:sz w:val="22"/>
          <w:szCs w:val="22"/>
        </w:rPr>
      </w:pPr>
      <w:r>
        <w:rPr>
          <w:sz w:val="22"/>
          <w:szCs w:val="22"/>
        </w:rPr>
        <w:t>Summary of the case</w:t>
      </w:r>
    </w:p>
    <w:p w:rsidR="00944AC4" w:rsidRDefault="00944AC4" w:rsidP="00944AC4">
      <w:pPr>
        <w:pStyle w:val="Default"/>
        <w:numPr>
          <w:ilvl w:val="1"/>
          <w:numId w:val="4"/>
        </w:numPr>
        <w:rPr>
          <w:sz w:val="22"/>
          <w:szCs w:val="22"/>
        </w:rPr>
      </w:pPr>
      <w:r>
        <w:rPr>
          <w:sz w:val="22"/>
          <w:szCs w:val="22"/>
        </w:rPr>
        <w:t>Anticipated outcomes and timeline</w:t>
      </w:r>
    </w:p>
    <w:p w:rsidR="00944AC4" w:rsidRPr="00944AC4" w:rsidRDefault="00944AC4" w:rsidP="00944AC4">
      <w:pPr>
        <w:pStyle w:val="Default"/>
        <w:numPr>
          <w:ilvl w:val="1"/>
          <w:numId w:val="4"/>
        </w:numPr>
        <w:rPr>
          <w:sz w:val="22"/>
          <w:szCs w:val="22"/>
        </w:rPr>
      </w:pPr>
      <w:r>
        <w:rPr>
          <w:sz w:val="22"/>
          <w:szCs w:val="22"/>
        </w:rPr>
        <w:t>Key compliance considerations</w:t>
      </w:r>
      <w:bookmarkStart w:id="0" w:name="_GoBack"/>
      <w:bookmarkEnd w:id="0"/>
    </w:p>
    <w:p w:rsidR="00944AC4" w:rsidRPr="00944AC4" w:rsidRDefault="00944AC4" w:rsidP="00944AC4">
      <w:pPr>
        <w:pStyle w:val="Default"/>
        <w:numPr>
          <w:ilvl w:val="0"/>
          <w:numId w:val="4"/>
        </w:numPr>
        <w:rPr>
          <w:b/>
          <w:sz w:val="22"/>
          <w:szCs w:val="22"/>
        </w:rPr>
      </w:pPr>
      <w:r>
        <w:rPr>
          <w:b/>
          <w:sz w:val="22"/>
          <w:szCs w:val="22"/>
        </w:rPr>
        <w:t>Association Health Plans</w:t>
      </w:r>
      <w:r>
        <w:rPr>
          <w:b/>
          <w:sz w:val="22"/>
          <w:szCs w:val="22"/>
        </w:rPr>
        <w:t xml:space="preserve"> </w:t>
      </w:r>
      <w:r w:rsidRPr="00944AC4">
        <w:rPr>
          <w:sz w:val="22"/>
          <w:szCs w:val="22"/>
        </w:rPr>
        <w:t>(10 minutes)</w:t>
      </w:r>
    </w:p>
    <w:p w:rsidR="00944AC4" w:rsidRDefault="00944AC4" w:rsidP="00944AC4">
      <w:pPr>
        <w:pStyle w:val="Default"/>
        <w:numPr>
          <w:ilvl w:val="1"/>
          <w:numId w:val="4"/>
        </w:numPr>
        <w:rPr>
          <w:sz w:val="22"/>
          <w:szCs w:val="22"/>
        </w:rPr>
      </w:pPr>
      <w:r>
        <w:rPr>
          <w:sz w:val="22"/>
          <w:szCs w:val="22"/>
        </w:rPr>
        <w:t>Summary of the case</w:t>
      </w:r>
    </w:p>
    <w:p w:rsidR="00944AC4" w:rsidRDefault="00944AC4" w:rsidP="00944AC4">
      <w:pPr>
        <w:pStyle w:val="Default"/>
        <w:numPr>
          <w:ilvl w:val="1"/>
          <w:numId w:val="4"/>
        </w:numPr>
        <w:rPr>
          <w:sz w:val="22"/>
          <w:szCs w:val="22"/>
        </w:rPr>
      </w:pPr>
      <w:r>
        <w:rPr>
          <w:sz w:val="22"/>
          <w:szCs w:val="22"/>
        </w:rPr>
        <w:t>Anticipated outcomes and timeline</w:t>
      </w:r>
    </w:p>
    <w:p w:rsidR="00944AC4" w:rsidRPr="00944AC4" w:rsidRDefault="00944AC4" w:rsidP="00944AC4">
      <w:pPr>
        <w:pStyle w:val="Default"/>
        <w:numPr>
          <w:ilvl w:val="1"/>
          <w:numId w:val="4"/>
        </w:numPr>
        <w:rPr>
          <w:sz w:val="22"/>
          <w:szCs w:val="22"/>
        </w:rPr>
      </w:pPr>
      <w:r>
        <w:rPr>
          <w:sz w:val="22"/>
          <w:szCs w:val="22"/>
        </w:rPr>
        <w:t>Key compliance considerations</w:t>
      </w:r>
    </w:p>
    <w:p w:rsidR="00944AC4" w:rsidRPr="00944AC4" w:rsidRDefault="00944AC4" w:rsidP="00944AC4">
      <w:pPr>
        <w:pStyle w:val="Default"/>
        <w:numPr>
          <w:ilvl w:val="0"/>
          <w:numId w:val="4"/>
        </w:numPr>
        <w:rPr>
          <w:b/>
          <w:sz w:val="22"/>
          <w:szCs w:val="22"/>
        </w:rPr>
      </w:pPr>
      <w:r>
        <w:rPr>
          <w:b/>
          <w:sz w:val="22"/>
          <w:szCs w:val="22"/>
        </w:rPr>
        <w:t>Short-Term Plans</w:t>
      </w:r>
      <w:r>
        <w:rPr>
          <w:b/>
          <w:sz w:val="22"/>
          <w:szCs w:val="22"/>
        </w:rPr>
        <w:t xml:space="preserve"> </w:t>
      </w:r>
      <w:r w:rsidRPr="00944AC4">
        <w:rPr>
          <w:sz w:val="22"/>
          <w:szCs w:val="22"/>
        </w:rPr>
        <w:t>(10 minutes)</w:t>
      </w:r>
    </w:p>
    <w:p w:rsidR="00944AC4" w:rsidRDefault="00944AC4" w:rsidP="00944AC4">
      <w:pPr>
        <w:pStyle w:val="Default"/>
        <w:numPr>
          <w:ilvl w:val="1"/>
          <w:numId w:val="4"/>
        </w:numPr>
        <w:rPr>
          <w:sz w:val="22"/>
          <w:szCs w:val="22"/>
        </w:rPr>
      </w:pPr>
      <w:r>
        <w:rPr>
          <w:sz w:val="22"/>
          <w:szCs w:val="22"/>
        </w:rPr>
        <w:t>Summary of the case</w:t>
      </w:r>
    </w:p>
    <w:p w:rsidR="00944AC4" w:rsidRDefault="00944AC4" w:rsidP="00944AC4">
      <w:pPr>
        <w:pStyle w:val="Default"/>
        <w:numPr>
          <w:ilvl w:val="1"/>
          <w:numId w:val="4"/>
        </w:numPr>
        <w:rPr>
          <w:sz w:val="22"/>
          <w:szCs w:val="22"/>
        </w:rPr>
      </w:pPr>
      <w:r>
        <w:rPr>
          <w:sz w:val="22"/>
          <w:szCs w:val="22"/>
        </w:rPr>
        <w:t>Anticipated outcomes and timeline</w:t>
      </w:r>
    </w:p>
    <w:p w:rsidR="00944AC4" w:rsidRPr="00944AC4" w:rsidRDefault="00944AC4" w:rsidP="00944AC4">
      <w:pPr>
        <w:pStyle w:val="Default"/>
        <w:numPr>
          <w:ilvl w:val="1"/>
          <w:numId w:val="4"/>
        </w:numPr>
        <w:rPr>
          <w:sz w:val="22"/>
          <w:szCs w:val="22"/>
        </w:rPr>
      </w:pPr>
      <w:r>
        <w:rPr>
          <w:sz w:val="22"/>
          <w:szCs w:val="22"/>
        </w:rPr>
        <w:t>Key compliance considerations</w:t>
      </w:r>
    </w:p>
    <w:p w:rsidR="00944AC4" w:rsidRPr="00944AC4" w:rsidRDefault="00944AC4" w:rsidP="009E0650">
      <w:pPr>
        <w:pStyle w:val="Default"/>
        <w:numPr>
          <w:ilvl w:val="0"/>
          <w:numId w:val="4"/>
        </w:numPr>
        <w:rPr>
          <w:b/>
          <w:sz w:val="22"/>
          <w:szCs w:val="22"/>
        </w:rPr>
      </w:pPr>
      <w:r w:rsidRPr="00944AC4">
        <w:rPr>
          <w:b/>
          <w:sz w:val="22"/>
          <w:szCs w:val="22"/>
        </w:rPr>
        <w:t xml:space="preserve">Health Reimbursement Arrangement Final Rule </w:t>
      </w:r>
      <w:r w:rsidRPr="00944AC4">
        <w:rPr>
          <w:sz w:val="22"/>
          <w:szCs w:val="22"/>
        </w:rPr>
        <w:t>(10 minutes)</w:t>
      </w:r>
    </w:p>
    <w:p w:rsidR="00944AC4" w:rsidRPr="00944AC4" w:rsidRDefault="00944AC4" w:rsidP="00944AC4">
      <w:pPr>
        <w:pStyle w:val="Default"/>
        <w:numPr>
          <w:ilvl w:val="1"/>
          <w:numId w:val="4"/>
        </w:numPr>
        <w:rPr>
          <w:sz w:val="22"/>
          <w:szCs w:val="22"/>
        </w:rPr>
      </w:pPr>
      <w:r w:rsidRPr="00944AC4">
        <w:rPr>
          <w:sz w:val="22"/>
          <w:szCs w:val="22"/>
        </w:rPr>
        <w:t>Summary of the final rule as related to proposal and NAHU’s comments</w:t>
      </w:r>
    </w:p>
    <w:p w:rsidR="00944AC4" w:rsidRPr="00944AC4" w:rsidRDefault="00944AC4" w:rsidP="00944AC4">
      <w:pPr>
        <w:pStyle w:val="Default"/>
        <w:numPr>
          <w:ilvl w:val="1"/>
          <w:numId w:val="4"/>
        </w:numPr>
        <w:rPr>
          <w:sz w:val="22"/>
          <w:szCs w:val="22"/>
        </w:rPr>
      </w:pPr>
      <w:r w:rsidRPr="00944AC4">
        <w:rPr>
          <w:sz w:val="22"/>
          <w:szCs w:val="22"/>
        </w:rPr>
        <w:t>Review of key compliance considerations</w:t>
      </w:r>
    </w:p>
    <w:p w:rsidR="00944AC4" w:rsidRPr="00944AC4" w:rsidRDefault="00944AC4" w:rsidP="00944AC4">
      <w:pPr>
        <w:pStyle w:val="Default"/>
        <w:numPr>
          <w:ilvl w:val="0"/>
          <w:numId w:val="4"/>
        </w:numPr>
        <w:rPr>
          <w:b/>
          <w:sz w:val="22"/>
          <w:szCs w:val="22"/>
        </w:rPr>
      </w:pPr>
      <w:r>
        <w:rPr>
          <w:b/>
          <w:sz w:val="22"/>
          <w:szCs w:val="22"/>
        </w:rPr>
        <w:t>Other Compliance Considerations for ACA-Related Challenges</w:t>
      </w:r>
      <w:r w:rsidRPr="00944AC4">
        <w:rPr>
          <w:b/>
          <w:sz w:val="22"/>
          <w:szCs w:val="22"/>
        </w:rPr>
        <w:t xml:space="preserve"> </w:t>
      </w:r>
      <w:r w:rsidRPr="00944AC4">
        <w:rPr>
          <w:sz w:val="22"/>
          <w:szCs w:val="22"/>
        </w:rPr>
        <w:t>(</w:t>
      </w:r>
      <w:r>
        <w:rPr>
          <w:sz w:val="22"/>
          <w:szCs w:val="22"/>
        </w:rPr>
        <w:t>5</w:t>
      </w:r>
      <w:r w:rsidRPr="00944AC4">
        <w:rPr>
          <w:sz w:val="22"/>
          <w:szCs w:val="22"/>
        </w:rPr>
        <w:t xml:space="preserve"> minutes)</w:t>
      </w:r>
    </w:p>
    <w:p w:rsidR="00944AC4" w:rsidRPr="00944AC4" w:rsidRDefault="00944AC4" w:rsidP="00944AC4">
      <w:pPr>
        <w:pStyle w:val="Default"/>
        <w:numPr>
          <w:ilvl w:val="1"/>
          <w:numId w:val="4"/>
        </w:numPr>
        <w:rPr>
          <w:sz w:val="22"/>
          <w:szCs w:val="22"/>
        </w:rPr>
      </w:pPr>
      <w:r>
        <w:rPr>
          <w:sz w:val="22"/>
          <w:szCs w:val="22"/>
        </w:rPr>
        <w:t>Overview of other expected cases and timeline</w:t>
      </w:r>
    </w:p>
    <w:p w:rsidR="00944AC4" w:rsidRPr="00944AC4" w:rsidRDefault="00944AC4" w:rsidP="009E0650">
      <w:pPr>
        <w:pStyle w:val="Default"/>
        <w:numPr>
          <w:ilvl w:val="0"/>
          <w:numId w:val="4"/>
        </w:numPr>
        <w:rPr>
          <w:b/>
          <w:sz w:val="22"/>
          <w:szCs w:val="22"/>
        </w:rPr>
      </w:pPr>
      <w:r w:rsidRPr="00944AC4">
        <w:rPr>
          <w:b/>
          <w:sz w:val="22"/>
          <w:szCs w:val="22"/>
        </w:rPr>
        <w:t xml:space="preserve">Role of NAHU and Agents/Brokers </w:t>
      </w:r>
      <w:r w:rsidRPr="00944AC4">
        <w:rPr>
          <w:sz w:val="22"/>
          <w:szCs w:val="22"/>
        </w:rPr>
        <w:t>(</w:t>
      </w:r>
      <w:r>
        <w:rPr>
          <w:sz w:val="22"/>
          <w:szCs w:val="22"/>
        </w:rPr>
        <w:t>5</w:t>
      </w:r>
      <w:r w:rsidRPr="00944AC4">
        <w:rPr>
          <w:sz w:val="22"/>
          <w:szCs w:val="22"/>
        </w:rPr>
        <w:t xml:space="preserve"> minutes)</w:t>
      </w:r>
    </w:p>
    <w:p w:rsidR="00944AC4" w:rsidRPr="00944AC4" w:rsidRDefault="00944AC4" w:rsidP="00944AC4">
      <w:pPr>
        <w:pStyle w:val="Default"/>
        <w:numPr>
          <w:ilvl w:val="1"/>
          <w:numId w:val="4"/>
        </w:numPr>
        <w:rPr>
          <w:sz w:val="22"/>
          <w:szCs w:val="22"/>
        </w:rPr>
      </w:pPr>
      <w:r w:rsidRPr="00944AC4">
        <w:rPr>
          <w:sz w:val="22"/>
          <w:szCs w:val="22"/>
        </w:rPr>
        <w:t>Advocacy Efforts</w:t>
      </w:r>
      <w:r>
        <w:rPr>
          <w:sz w:val="22"/>
          <w:szCs w:val="22"/>
        </w:rPr>
        <w:t xml:space="preserve"> and Coalitions</w:t>
      </w:r>
    </w:p>
    <w:p w:rsidR="00944AC4" w:rsidRDefault="00944AC4" w:rsidP="00944AC4">
      <w:pPr>
        <w:pStyle w:val="Default"/>
        <w:numPr>
          <w:ilvl w:val="1"/>
          <w:numId w:val="4"/>
        </w:numPr>
        <w:rPr>
          <w:sz w:val="22"/>
          <w:szCs w:val="22"/>
        </w:rPr>
      </w:pPr>
      <w:r>
        <w:rPr>
          <w:sz w:val="22"/>
          <w:szCs w:val="22"/>
        </w:rPr>
        <w:t xml:space="preserve">Member </w:t>
      </w:r>
      <w:r w:rsidRPr="00944AC4">
        <w:rPr>
          <w:sz w:val="22"/>
          <w:szCs w:val="22"/>
        </w:rPr>
        <w:t>Education</w:t>
      </w:r>
      <w:r>
        <w:rPr>
          <w:sz w:val="22"/>
          <w:szCs w:val="22"/>
        </w:rPr>
        <w:t xml:space="preserve"> and Client Resources</w:t>
      </w:r>
    </w:p>
    <w:p w:rsidR="00944AC4" w:rsidRDefault="00944AC4" w:rsidP="00944AC4">
      <w:pPr>
        <w:pStyle w:val="Default"/>
        <w:numPr>
          <w:ilvl w:val="2"/>
          <w:numId w:val="4"/>
        </w:numPr>
        <w:rPr>
          <w:sz w:val="22"/>
          <w:szCs w:val="22"/>
        </w:rPr>
      </w:pPr>
      <w:r>
        <w:rPr>
          <w:sz w:val="22"/>
          <w:szCs w:val="22"/>
        </w:rPr>
        <w:t>How to stay active and engaged</w:t>
      </w:r>
    </w:p>
    <w:p w:rsidR="00944AC4" w:rsidRPr="00944AC4" w:rsidRDefault="00944AC4" w:rsidP="00944AC4">
      <w:pPr>
        <w:pStyle w:val="Default"/>
        <w:numPr>
          <w:ilvl w:val="2"/>
          <w:numId w:val="4"/>
        </w:numPr>
        <w:rPr>
          <w:sz w:val="22"/>
          <w:szCs w:val="22"/>
        </w:rPr>
      </w:pPr>
      <w:r>
        <w:rPr>
          <w:sz w:val="22"/>
          <w:szCs w:val="22"/>
        </w:rPr>
        <w:t>Tools and resources</w:t>
      </w:r>
    </w:p>
    <w:p w:rsidR="00001676" w:rsidRPr="00001676" w:rsidRDefault="00001676" w:rsidP="00001676">
      <w:pPr>
        <w:pStyle w:val="Default"/>
        <w:numPr>
          <w:ilvl w:val="0"/>
          <w:numId w:val="4"/>
        </w:numPr>
        <w:rPr>
          <w:rFonts w:asciiTheme="minorHAnsi" w:hAnsiTheme="minorHAnsi"/>
          <w:b/>
          <w:sz w:val="22"/>
          <w:szCs w:val="22"/>
        </w:rPr>
      </w:pPr>
      <w:r w:rsidRPr="00001676">
        <w:rPr>
          <w:rFonts w:asciiTheme="minorHAnsi" w:hAnsiTheme="minorHAnsi"/>
          <w:b/>
          <w:sz w:val="22"/>
          <w:szCs w:val="22"/>
        </w:rPr>
        <w:t>Q&amp;A</w:t>
      </w:r>
      <w:r>
        <w:rPr>
          <w:rFonts w:asciiTheme="minorHAnsi" w:hAnsiTheme="minorHAnsi"/>
          <w:b/>
          <w:sz w:val="22"/>
          <w:szCs w:val="22"/>
        </w:rPr>
        <w:t xml:space="preserve"> </w:t>
      </w:r>
      <w:r>
        <w:rPr>
          <w:rFonts w:asciiTheme="minorHAnsi" w:hAnsiTheme="minorHAnsi"/>
          <w:sz w:val="22"/>
          <w:szCs w:val="22"/>
        </w:rPr>
        <w:t>(5 minutes)</w:t>
      </w:r>
    </w:p>
    <w:sectPr w:rsidR="00001676" w:rsidRPr="00001676" w:rsidSect="00D50442">
      <w:pgSz w:w="12240" w:h="16340"/>
      <w:pgMar w:top="1177" w:right="1359" w:bottom="1440" w:left="1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E63"/>
    <w:multiLevelType w:val="multilevel"/>
    <w:tmpl w:val="0409001D"/>
    <w:numStyleLink w:val="Style1"/>
  </w:abstractNum>
  <w:abstractNum w:abstractNumId="1">
    <w:nsid w:val="024258D1"/>
    <w:multiLevelType w:val="hybridMultilevel"/>
    <w:tmpl w:val="24DA4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60F55F3"/>
    <w:multiLevelType w:val="hybridMultilevel"/>
    <w:tmpl w:val="3676A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CB25916"/>
    <w:multiLevelType w:val="hybridMultilevel"/>
    <w:tmpl w:val="DD90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40BC"/>
    <w:multiLevelType w:val="hybridMultilevel"/>
    <w:tmpl w:val="70EA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C4728F2"/>
    <w:multiLevelType w:val="hybridMultilevel"/>
    <w:tmpl w:val="F8B4D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3"/>
  </w:num>
  <w:num w:numId="5">
    <w:abstractNumId w:val="7"/>
  </w:num>
  <w:num w:numId="6">
    <w:abstractNumId w:val="2"/>
  </w:num>
  <w:num w:numId="7">
    <w:abstractNumId w:val="5"/>
  </w:num>
  <w:num w:numId="8">
    <w:abstractNumId w:val="1"/>
  </w:num>
  <w:num w:numId="9">
    <w:abstractNumId w:val="8"/>
  </w:num>
  <w:num w:numId="10">
    <w:abstractNumId w:val="9"/>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FC"/>
    <w:rsid w:val="0000022F"/>
    <w:rsid w:val="000002CC"/>
    <w:rsid w:val="0000032C"/>
    <w:rsid w:val="000008F8"/>
    <w:rsid w:val="00001676"/>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52C"/>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23D"/>
    <w:rsid w:val="00052863"/>
    <w:rsid w:val="0005308A"/>
    <w:rsid w:val="000531E4"/>
    <w:rsid w:val="00053F6C"/>
    <w:rsid w:val="000544DC"/>
    <w:rsid w:val="000551BB"/>
    <w:rsid w:val="000557B9"/>
    <w:rsid w:val="0006108D"/>
    <w:rsid w:val="00061862"/>
    <w:rsid w:val="000620FF"/>
    <w:rsid w:val="00062260"/>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9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04DB"/>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5C8B"/>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819"/>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4D2"/>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6D7"/>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EF3"/>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62D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35FB"/>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77AFD"/>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4B4"/>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4677"/>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59C1"/>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8C8"/>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44AC4"/>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650"/>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073"/>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2BB2"/>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379CB"/>
    <w:rsid w:val="00C4014D"/>
    <w:rsid w:val="00C4282E"/>
    <w:rsid w:val="00C42C0C"/>
    <w:rsid w:val="00C4472E"/>
    <w:rsid w:val="00C44C0E"/>
    <w:rsid w:val="00C45CE0"/>
    <w:rsid w:val="00C46CA4"/>
    <w:rsid w:val="00C50FAA"/>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6A9D"/>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47E"/>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27BB3"/>
    <w:rsid w:val="00E301E9"/>
    <w:rsid w:val="00E3069C"/>
    <w:rsid w:val="00E319ED"/>
    <w:rsid w:val="00E31F2D"/>
    <w:rsid w:val="00E33DA7"/>
    <w:rsid w:val="00E33F4B"/>
    <w:rsid w:val="00E35B75"/>
    <w:rsid w:val="00E35BA8"/>
    <w:rsid w:val="00E36756"/>
    <w:rsid w:val="00E36AB2"/>
    <w:rsid w:val="00E371D9"/>
    <w:rsid w:val="00E3740F"/>
    <w:rsid w:val="00E40B17"/>
    <w:rsid w:val="00E40C6E"/>
    <w:rsid w:val="00E41613"/>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6A89"/>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860C2"/>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32D"/>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6EB"/>
    <w:rsid w:val="00ED7F5E"/>
    <w:rsid w:val="00EE17F4"/>
    <w:rsid w:val="00EE1CE9"/>
    <w:rsid w:val="00EE2A46"/>
    <w:rsid w:val="00EE36B7"/>
    <w:rsid w:val="00EE4953"/>
    <w:rsid w:val="00EE4DD4"/>
    <w:rsid w:val="00EE55D8"/>
    <w:rsid w:val="00EE6179"/>
    <w:rsid w:val="00EE6FF8"/>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66B"/>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2963"/>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4552">
      <w:bodyDiv w:val="1"/>
      <w:marLeft w:val="0"/>
      <w:marRight w:val="0"/>
      <w:marTop w:val="0"/>
      <w:marBottom w:val="0"/>
      <w:divBdr>
        <w:top w:val="none" w:sz="0" w:space="0" w:color="auto"/>
        <w:left w:val="none" w:sz="0" w:space="0" w:color="auto"/>
        <w:bottom w:val="none" w:sz="0" w:space="0" w:color="auto"/>
        <w:right w:val="none" w:sz="0" w:space="0" w:color="auto"/>
      </w:divBdr>
    </w:div>
    <w:div w:id="888150701">
      <w:bodyDiv w:val="1"/>
      <w:marLeft w:val="0"/>
      <w:marRight w:val="0"/>
      <w:marTop w:val="0"/>
      <w:marBottom w:val="0"/>
      <w:divBdr>
        <w:top w:val="none" w:sz="0" w:space="0" w:color="auto"/>
        <w:left w:val="none" w:sz="0" w:space="0" w:color="auto"/>
        <w:bottom w:val="none" w:sz="0" w:space="0" w:color="auto"/>
        <w:right w:val="none" w:sz="0" w:space="0" w:color="auto"/>
      </w:divBdr>
    </w:div>
    <w:div w:id="1323922918">
      <w:bodyDiv w:val="1"/>
      <w:marLeft w:val="0"/>
      <w:marRight w:val="0"/>
      <w:marTop w:val="0"/>
      <w:marBottom w:val="0"/>
      <w:divBdr>
        <w:top w:val="none" w:sz="0" w:space="0" w:color="auto"/>
        <w:left w:val="none" w:sz="0" w:space="0" w:color="auto"/>
        <w:bottom w:val="none" w:sz="0" w:space="0" w:color="auto"/>
        <w:right w:val="none" w:sz="0" w:space="0" w:color="auto"/>
      </w:divBdr>
    </w:div>
    <w:div w:id="1558514090">
      <w:bodyDiv w:val="1"/>
      <w:marLeft w:val="0"/>
      <w:marRight w:val="0"/>
      <w:marTop w:val="0"/>
      <w:marBottom w:val="0"/>
      <w:divBdr>
        <w:top w:val="none" w:sz="0" w:space="0" w:color="auto"/>
        <w:left w:val="none" w:sz="0" w:space="0" w:color="auto"/>
        <w:bottom w:val="none" w:sz="0" w:space="0" w:color="auto"/>
        <w:right w:val="none" w:sz="0" w:space="0" w:color="auto"/>
      </w:divBdr>
    </w:div>
    <w:div w:id="1803384614">
      <w:bodyDiv w:val="1"/>
      <w:marLeft w:val="0"/>
      <w:marRight w:val="0"/>
      <w:marTop w:val="0"/>
      <w:marBottom w:val="0"/>
      <w:divBdr>
        <w:top w:val="none" w:sz="0" w:space="0" w:color="auto"/>
        <w:left w:val="none" w:sz="0" w:space="0" w:color="auto"/>
        <w:bottom w:val="none" w:sz="0" w:space="0" w:color="auto"/>
        <w:right w:val="none" w:sz="0" w:space="0" w:color="auto"/>
      </w:divBdr>
    </w:div>
    <w:div w:id="19146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Dan Samson</cp:lastModifiedBy>
  <cp:revision>3</cp:revision>
  <dcterms:created xsi:type="dcterms:W3CDTF">2019-04-08T20:13:00Z</dcterms:created>
  <dcterms:modified xsi:type="dcterms:W3CDTF">2019-04-09T20:46:00Z</dcterms:modified>
</cp:coreProperties>
</file>