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20" w:rsidRPr="006C6AAF" w:rsidRDefault="00D44620" w:rsidP="006C6AAF">
      <w:pPr>
        <w:spacing w:after="0" w:line="240" w:lineRule="auto"/>
        <w:rPr>
          <w:sz w:val="28"/>
          <w:szCs w:val="28"/>
        </w:rPr>
      </w:pPr>
      <w:r w:rsidRPr="006C6AAF">
        <w:rPr>
          <w:sz w:val="28"/>
          <w:szCs w:val="28"/>
        </w:rPr>
        <w:t>IRMAA</w:t>
      </w:r>
    </w:p>
    <w:p w:rsidR="00E454F9" w:rsidRDefault="00D44620" w:rsidP="006C6AAF">
      <w:pPr>
        <w:spacing w:after="0" w:line="240" w:lineRule="auto"/>
      </w:pPr>
      <w:r>
        <w:t>Most People pay the standard Premium for Part B. However</w:t>
      </w:r>
      <w:r w:rsidR="006C6AAF">
        <w:t>,</w:t>
      </w:r>
      <w:r>
        <w:t xml:space="preserve"> Medicare looks back </w:t>
      </w:r>
      <w:r w:rsidR="006C6AAF">
        <w:t>two</w:t>
      </w:r>
      <w:r>
        <w:t xml:space="preserve"> years at an individual’s tax returns</w:t>
      </w:r>
      <w:r w:rsidR="006C6AAF">
        <w:t xml:space="preserve">, in order to determine if they </w:t>
      </w:r>
      <w:r>
        <w:t>meet certain income thresholds</w:t>
      </w:r>
      <w:r w:rsidR="006C6AAF">
        <w:t>,</w:t>
      </w:r>
      <w:r>
        <w:t xml:space="preserve"> </w:t>
      </w:r>
      <w:r w:rsidR="006C6AAF">
        <w:t>which</w:t>
      </w:r>
      <w:r>
        <w:t xml:space="preserve"> will require them to pay more in premium.  This is called </w:t>
      </w:r>
      <w:r w:rsidR="006C6AAF">
        <w:t>IRMAA</w:t>
      </w:r>
      <w:r>
        <w:t xml:space="preserve">. See the chart below for details: </w:t>
      </w:r>
    </w:p>
    <w:p w:rsidR="006C6AAF" w:rsidRDefault="006C6AAF" w:rsidP="006C6AAF">
      <w:pPr>
        <w:spacing w:after="0" w:line="240" w:lineRule="auto"/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2467"/>
        <w:gridCol w:w="2469"/>
        <w:gridCol w:w="1873"/>
      </w:tblGrid>
      <w:tr w:rsidR="00D44620" w:rsidRPr="00D44620" w:rsidTr="00D44620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If your yearly income in 2017 (for what you pay in 2019) was</w:t>
            </w:r>
          </w:p>
        </w:tc>
        <w:tc>
          <w:tcPr>
            <w:tcW w:w="0" w:type="auto"/>
            <w:vMerge w:val="restar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You pay each month (in 2019)</w:t>
            </w: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File individual tax return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File joint tax return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File married &amp; separate tax return</w:t>
            </w:r>
          </w:p>
        </w:tc>
        <w:tc>
          <w:tcPr>
            <w:tcW w:w="0" w:type="auto"/>
            <w:vMerge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vAlign w:val="center"/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$85,000 or less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$170,000 or less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$85,000 or less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$135.50</w:t>
            </w: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$85,000 up to $107,000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$170,000 up to $214,000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applicable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$189.60</w:t>
            </w: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$107,000 up to $133,500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$214,000 up to $267,000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applicable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$270.90</w:t>
            </w: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$133,500 up to $160,000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$267,000 up to $320,000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applicable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$352.20</w:t>
            </w: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$160,000 and less than $500,000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$320,000 and less than $750,000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above $85,000 and less than $415,000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$433.40</w:t>
            </w:r>
          </w:p>
        </w:tc>
      </w:tr>
      <w:tr w:rsidR="00D44620" w:rsidRPr="00D44620" w:rsidTr="00D44620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$500,000 or above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$750,000 and above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$415,000 and above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620" w:rsidRPr="00D44620" w:rsidRDefault="00D44620" w:rsidP="00D4462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462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$460.50</w:t>
            </w:r>
          </w:p>
        </w:tc>
      </w:tr>
    </w:tbl>
    <w:p w:rsidR="00D44620" w:rsidRDefault="00D44620"/>
    <w:sectPr w:rsidR="00D4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20"/>
    <w:rsid w:val="006C6AAF"/>
    <w:rsid w:val="00D44620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B0393-0A0B-4510-8000-F56DE0AD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386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6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9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2019-02-15T21:51:00Z</dcterms:created>
  <dcterms:modified xsi:type="dcterms:W3CDTF">2019-03-18T14:27:00Z</dcterms:modified>
</cp:coreProperties>
</file>