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15" w:rsidRPr="0033041E" w:rsidRDefault="00B36715" w:rsidP="00B36715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33041E">
        <w:rPr>
          <w:rFonts w:asciiTheme="minorHAnsi" w:hAnsiTheme="minorHAnsi" w:cstheme="minorHAnsi"/>
          <w:color w:val="000000"/>
          <w:sz w:val="28"/>
          <w:szCs w:val="28"/>
        </w:rPr>
        <w:t xml:space="preserve">Other Guaranteed-Issue Situations </w:t>
      </w:r>
    </w:p>
    <w:p w:rsidR="00B36715" w:rsidRPr="0033041E" w:rsidRDefault="00B36715" w:rsidP="00B36715">
      <w:pPr>
        <w:pStyle w:val="Pa2"/>
        <w:spacing w:after="180"/>
        <w:rPr>
          <w:rFonts w:asciiTheme="minorHAnsi" w:hAnsiTheme="minorHAnsi" w:cstheme="minorHAnsi"/>
          <w:color w:val="000000"/>
          <w:sz w:val="22"/>
          <w:szCs w:val="22"/>
        </w:rPr>
      </w:pPr>
      <w:r w:rsidRPr="0033041E">
        <w:rPr>
          <w:rFonts w:asciiTheme="minorHAnsi" w:hAnsiTheme="minorHAnsi" w:cstheme="minorHAnsi"/>
          <w:color w:val="000000"/>
          <w:sz w:val="22"/>
          <w:szCs w:val="22"/>
        </w:rPr>
        <w:t xml:space="preserve">See the chart below for other situations where someone may qualify for a GI.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63"/>
        <w:gridCol w:w="2563"/>
        <w:gridCol w:w="2563"/>
      </w:tblGrid>
      <w:tr w:rsidR="00B36715" w:rsidRPr="0033041E" w:rsidTr="00C44233">
        <w:trPr>
          <w:trHeight w:val="144"/>
        </w:trPr>
        <w:tc>
          <w:tcPr>
            <w:tcW w:w="2563" w:type="dxa"/>
            <w:tcBorders>
              <w:bottom w:val="single" w:sz="4" w:space="0" w:color="auto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Applicant has a GI if… 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And they can buy… 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Within this time… </w:t>
            </w:r>
          </w:p>
        </w:tc>
      </w:tr>
      <w:tr w:rsidR="00B36715" w:rsidRPr="0033041E" w:rsidTr="00C44233">
        <w:trPr>
          <w:trHeight w:val="132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They are in a Medicare Advantage plan (like an HMO or PPO), and the plan is leaving Medicare or stops giving care in their area, or they move out of the plan’s service area. </w:t>
            </w:r>
          </w:p>
        </w:tc>
        <w:tc>
          <w:tcPr>
            <w:tcW w:w="2563" w:type="dxa"/>
            <w:tcBorders>
              <w:top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in their state by any insurance company. They only have this right if they switch to Original Medicare rather than join another Medicare Advantage plan. </w:t>
            </w:r>
          </w:p>
        </w:tc>
        <w:tc>
          <w:tcPr>
            <w:tcW w:w="25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 early as 60 calendar days before the date their health care coverage will end, but no later than 63 calendar days after their health care coverage ends.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coverage can’t start until their Medicare Advantage plan coverage ends. </w:t>
            </w:r>
          </w:p>
        </w:tc>
      </w:tr>
      <w:tr w:rsidR="00B36715" w:rsidRPr="0033041E" w:rsidTr="00C44233">
        <w:trPr>
          <w:trHeight w:val="132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They have Original Medicare and an employer group health plan (including retiree or COBRA coverage) or union coverage that pays after Medicare pays and that plan is ending.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in their state by any insurance company. If they have COBRA coverage, they can either buy a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right away or wait until the COBRA coverage ends.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 later than 63 calendar days after the latest of these three dates: </w:t>
            </w:r>
          </w:p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Date the coverage ends </w:t>
            </w:r>
          </w:p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Date on the notice they get telling them that coverage is ending. </w:t>
            </w:r>
          </w:p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3. Date on a claim denial, if this is the only way they know that their coverage ended </w:t>
            </w:r>
          </w:p>
        </w:tc>
      </w:tr>
      <w:tr w:rsidR="00B36715" w:rsidRPr="0033041E" w:rsidTr="00C44233">
        <w:trPr>
          <w:trHeight w:val="84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They have Original Medicare and a Medicare SELECT policy. They move out of the Medicare SELECT policy’s service area.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by any insurance companies in their state or the state they are moving to.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 early as 60 calendar days before the date their Medicare SELECT coverage will end, but no later than 63 calendar days after their Medicare SELECT coverage ends. </w:t>
            </w:r>
          </w:p>
        </w:tc>
      </w:tr>
      <w:tr w:rsidR="00B36715" w:rsidRPr="0033041E" w:rsidTr="00C44233">
        <w:trPr>
          <w:trHeight w:val="120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(Trial right) They joined a Medicare Advantage plan (like an HMO or PPO) or PACE when they were first eligible for Medicare Part A at 65, and within the first year of joining, they decide they want to switch to Original Medicare.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Any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that’s sold in their state by any insurance company.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 early as 60 calendar days before the date their coverage will end, but no later than 63 calendar days after their coverage ends.</w:t>
            </w:r>
          </w:p>
        </w:tc>
      </w:tr>
      <w:tr w:rsidR="00B36715" w:rsidRPr="0033041E" w:rsidTr="00C44233">
        <w:trPr>
          <w:trHeight w:val="120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Applicant has a GI if…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And they can buy…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865321" w:rsidRDefault="00B36715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65321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Within this time… </w:t>
            </w:r>
          </w:p>
        </w:tc>
      </w:tr>
      <w:tr w:rsidR="00B36715" w:rsidRPr="0033041E" w:rsidTr="00C44233">
        <w:trPr>
          <w:trHeight w:val="120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(Trial right) They dropped a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to join a Medicare Advantage plan (or to switch to a Medicare SELECT policy) for the first time, they’ve been in the plan less than a year, and they want to switch back.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they had before they joined the MA plan or Medicare SELECT policy, if the same insurance company they had before still sells it. If their former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isn’t available, they can buy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in their state by any insurance company.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 early as 60 calendar days before the date their coverage will end, but no later than 63 calendar days after their coverage ends. </w:t>
            </w:r>
          </w:p>
        </w:tc>
      </w:tr>
      <w:tr w:rsidR="00B36715" w:rsidRPr="0033041E" w:rsidTr="00C44233">
        <w:trPr>
          <w:trHeight w:val="1200"/>
        </w:trPr>
        <w:tc>
          <w:tcPr>
            <w:tcW w:w="2563" w:type="dxa"/>
            <w:tcBorders>
              <w:top w:val="nil"/>
              <w:left w:val="single" w:sz="4" w:space="0" w:color="auto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Their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insurance company goes bankrupt and they lose their coverage, or their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coverage otherwise ends through no fault of their own. </w:t>
            </w:r>
          </w:p>
        </w:tc>
        <w:tc>
          <w:tcPr>
            <w:tcW w:w="2563" w:type="dxa"/>
            <w:tcBorders>
              <w:top w:val="nil"/>
              <w:bottom w:val="nil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in their state by any insurance company. </w:t>
            </w:r>
          </w:p>
        </w:tc>
        <w:tc>
          <w:tcPr>
            <w:tcW w:w="2563" w:type="dxa"/>
            <w:tcBorders>
              <w:top w:val="nil"/>
              <w:bottom w:val="nil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 later than 63 calendar days from the date their coverage ends. </w:t>
            </w:r>
          </w:p>
        </w:tc>
        <w:bookmarkStart w:id="0" w:name="_GoBack"/>
        <w:bookmarkEnd w:id="0"/>
      </w:tr>
      <w:tr w:rsidR="00B36715" w:rsidRPr="0033041E" w:rsidTr="00C44233">
        <w:trPr>
          <w:trHeight w:val="12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They leave a Medicare Advantage plan or drop a </w:t>
            </w: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policy because the company hasn’t followed the rules or it misled them. </w:t>
            </w:r>
          </w:p>
        </w:tc>
        <w:tc>
          <w:tcPr>
            <w:tcW w:w="2563" w:type="dxa"/>
            <w:tcBorders>
              <w:top w:val="nil"/>
              <w:bottom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Medigap</w:t>
            </w:r>
            <w:proofErr w:type="spellEnd"/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Plan A, B, C, F, K or L that’s sold in their state by any insurance company. </w:t>
            </w:r>
          </w:p>
        </w:tc>
        <w:tc>
          <w:tcPr>
            <w:tcW w:w="256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36715" w:rsidRPr="0033041E" w:rsidRDefault="00B36715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04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later than 63 calendar days from the date their coverage ends.</w:t>
            </w:r>
          </w:p>
        </w:tc>
      </w:tr>
    </w:tbl>
    <w:p w:rsidR="00C82F76" w:rsidRPr="0033041E" w:rsidRDefault="00C82F76">
      <w:pPr>
        <w:rPr>
          <w:rFonts w:cstheme="minorHAnsi"/>
        </w:rPr>
      </w:pPr>
    </w:p>
    <w:sectPr w:rsidR="00C82F76" w:rsidRPr="0033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15"/>
    <w:rsid w:val="0033041E"/>
    <w:rsid w:val="00865321"/>
    <w:rsid w:val="00B36715"/>
    <w:rsid w:val="00C44233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5341-73AB-4007-8905-9869F77C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B36715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B36715"/>
    <w:pPr>
      <w:autoSpaceDE w:val="0"/>
      <w:autoSpaceDN w:val="0"/>
      <w:adjustRightInd w:val="0"/>
      <w:spacing w:after="0" w:line="241" w:lineRule="atLeast"/>
    </w:pPr>
    <w:rPr>
      <w:rFonts w:ascii="Trebuchet MS" w:hAnsi="Trebuchet MS"/>
      <w:sz w:val="24"/>
      <w:szCs w:val="24"/>
    </w:rPr>
  </w:style>
  <w:style w:type="paragraph" w:customStyle="1" w:styleId="Pa13">
    <w:name w:val="Pa13"/>
    <w:basedOn w:val="Normal"/>
    <w:next w:val="Normal"/>
    <w:uiPriority w:val="99"/>
    <w:rsid w:val="00B36715"/>
    <w:pPr>
      <w:autoSpaceDE w:val="0"/>
      <w:autoSpaceDN w:val="0"/>
      <w:adjustRightInd w:val="0"/>
      <w:spacing w:after="0" w:line="201" w:lineRule="atLeast"/>
    </w:pPr>
    <w:rPr>
      <w:rFonts w:ascii="Trebuchet MS" w:hAnsi="Trebuchet MS"/>
      <w:sz w:val="24"/>
      <w:szCs w:val="24"/>
    </w:rPr>
  </w:style>
  <w:style w:type="character" w:customStyle="1" w:styleId="A5">
    <w:name w:val="A5"/>
    <w:uiPriority w:val="99"/>
    <w:rsid w:val="00B36715"/>
    <w:rPr>
      <w:rFonts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84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4</cp:revision>
  <dcterms:created xsi:type="dcterms:W3CDTF">2019-03-27T18:33:00Z</dcterms:created>
  <dcterms:modified xsi:type="dcterms:W3CDTF">2019-04-03T17:10:00Z</dcterms:modified>
</cp:coreProperties>
</file>