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85" w:rsidRPr="00E537C9" w:rsidRDefault="00F77E85" w:rsidP="00F77E85">
      <w:pPr>
        <w:pStyle w:val="Pa5"/>
        <w:rPr>
          <w:rFonts w:asciiTheme="minorHAnsi" w:hAnsiTheme="minorHAnsi" w:cstheme="minorHAnsi"/>
          <w:color w:val="000000"/>
          <w:sz w:val="28"/>
          <w:szCs w:val="28"/>
        </w:rPr>
      </w:pPr>
      <w:r w:rsidRPr="00E537C9">
        <w:rPr>
          <w:rFonts w:asciiTheme="minorHAnsi" w:hAnsiTheme="minorHAnsi" w:cstheme="minorHAnsi"/>
          <w:color w:val="000000"/>
          <w:sz w:val="28"/>
          <w:szCs w:val="28"/>
        </w:rPr>
        <w:t xml:space="preserve">Massachusetts </w:t>
      </w:r>
      <w:proofErr w:type="spellStart"/>
      <w:r w:rsidRPr="00E537C9">
        <w:rPr>
          <w:rFonts w:asciiTheme="minorHAnsi" w:hAnsiTheme="minorHAnsi" w:cstheme="minorHAnsi"/>
          <w:color w:val="000000"/>
          <w:sz w:val="28"/>
          <w:szCs w:val="28"/>
        </w:rPr>
        <w:t>Medigap</w:t>
      </w:r>
      <w:proofErr w:type="spellEnd"/>
      <w:r w:rsidRPr="00E537C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E537C9" w:rsidRDefault="00F77E85" w:rsidP="00E537C9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E537C9">
        <w:rPr>
          <w:rFonts w:asciiTheme="minorHAnsi" w:hAnsiTheme="minorHAnsi" w:cstheme="minorHAnsi"/>
          <w:color w:val="000000"/>
          <w:sz w:val="22"/>
          <w:szCs w:val="22"/>
        </w:rPr>
        <w:t xml:space="preserve">Massachusetts has two </w:t>
      </w:r>
      <w:proofErr w:type="spellStart"/>
      <w:r w:rsidRPr="00E537C9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E537C9">
        <w:rPr>
          <w:rFonts w:asciiTheme="minorHAnsi" w:hAnsiTheme="minorHAnsi" w:cstheme="minorHAnsi"/>
          <w:color w:val="000000"/>
          <w:sz w:val="22"/>
          <w:szCs w:val="22"/>
        </w:rPr>
        <w:t xml:space="preserve"> plans, the Core plan and the Supplement 1 plan. </w:t>
      </w:r>
    </w:p>
    <w:p w:rsidR="00E537C9" w:rsidRDefault="00E537C9" w:rsidP="00E537C9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E537C9" w:rsidRPr="00E537C9" w:rsidRDefault="00F77E85" w:rsidP="00E537C9">
      <w:pPr>
        <w:pStyle w:val="Pa2"/>
        <w:numPr>
          <w:ilvl w:val="0"/>
          <w:numId w:val="2"/>
        </w:numPr>
        <w:spacing w:line="240" w:lineRule="auto"/>
        <w:rPr>
          <w:rStyle w:val="A5"/>
          <w:rFonts w:asciiTheme="minorHAnsi" w:hAnsiTheme="minorHAnsi" w:cstheme="minorHAnsi"/>
          <w:color w:val="auto"/>
          <w:sz w:val="22"/>
          <w:szCs w:val="22"/>
        </w:rPr>
      </w:pPr>
      <w:r w:rsidRPr="00E537C9">
        <w:rPr>
          <w:rFonts w:asciiTheme="minorHAnsi" w:hAnsiTheme="minorHAnsi" w:cstheme="minorHAnsi"/>
          <w:color w:val="000000"/>
          <w:sz w:val="22"/>
          <w:szCs w:val="22"/>
        </w:rPr>
        <w:t>The Core plan provides very basic benefits</w:t>
      </w:r>
      <w:r w:rsidR="00E537C9" w:rsidRPr="00E537C9">
        <w:rPr>
          <w:rFonts w:asciiTheme="minorHAnsi" w:hAnsiTheme="minorHAnsi" w:cstheme="minorHAnsi"/>
          <w:color w:val="000000"/>
          <w:sz w:val="22"/>
          <w:szCs w:val="22"/>
        </w:rPr>
        <w:t xml:space="preserve"> including </w:t>
      </w:r>
      <w:r w:rsidR="00E537C9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E537C9">
        <w:rPr>
          <w:rStyle w:val="A5"/>
          <w:rFonts w:asciiTheme="minorHAnsi" w:hAnsiTheme="minorHAnsi" w:cstheme="minorHAnsi"/>
          <w:sz w:val="22"/>
          <w:szCs w:val="22"/>
        </w:rPr>
        <w:t>npatient hospital care</w:t>
      </w:r>
      <w:r w:rsidR="00E537C9">
        <w:rPr>
          <w:rStyle w:val="A5"/>
          <w:rFonts w:asciiTheme="minorHAnsi" w:hAnsiTheme="minorHAnsi" w:cstheme="minorHAnsi"/>
          <w:sz w:val="22"/>
          <w:szCs w:val="22"/>
        </w:rPr>
        <w:t xml:space="preserve">, which encompasses </w:t>
      </w:r>
    </w:p>
    <w:p w:rsidR="00F77E85" w:rsidRPr="00E537C9" w:rsidRDefault="00E537C9" w:rsidP="00E537C9">
      <w:pPr>
        <w:pStyle w:val="Pa2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Style w:val="A5"/>
          <w:rFonts w:asciiTheme="minorHAnsi" w:hAnsiTheme="minorHAnsi" w:cstheme="minorHAnsi"/>
          <w:sz w:val="22"/>
          <w:szCs w:val="22"/>
        </w:rPr>
        <w:t xml:space="preserve">Medicare Part A – </w:t>
      </w:r>
      <w:r w:rsidR="00F77E85" w:rsidRPr="00E537C9">
        <w:rPr>
          <w:rStyle w:val="A5"/>
          <w:rFonts w:asciiTheme="minorHAnsi" w:hAnsiTheme="minorHAnsi" w:cstheme="minorHAnsi"/>
          <w:sz w:val="22"/>
          <w:szCs w:val="22"/>
        </w:rPr>
        <w:t>co-insurance</w:t>
      </w:r>
      <w:r>
        <w:rPr>
          <w:rStyle w:val="A5"/>
          <w:rFonts w:asciiTheme="minorHAnsi" w:hAnsiTheme="minorHAnsi" w:cstheme="minorHAnsi"/>
          <w:sz w:val="22"/>
          <w:szCs w:val="22"/>
        </w:rPr>
        <w:t>,</w:t>
      </w:r>
      <w:r w:rsidR="00F77E85" w:rsidRPr="00E537C9">
        <w:rPr>
          <w:rStyle w:val="A5"/>
          <w:rFonts w:asciiTheme="minorHAnsi" w:hAnsiTheme="minorHAnsi" w:cstheme="minorHAnsi"/>
          <w:sz w:val="22"/>
          <w:szCs w:val="22"/>
        </w:rPr>
        <w:t xml:space="preserve"> and an additional 365 days after Medicare’s allowance runs out </w:t>
      </w:r>
    </w:p>
    <w:p w:rsidR="00F77E85" w:rsidRPr="00E537C9" w:rsidRDefault="00F77E85" w:rsidP="00E537C9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537C9">
        <w:rPr>
          <w:rStyle w:val="A5"/>
          <w:rFonts w:asciiTheme="minorHAnsi" w:hAnsiTheme="minorHAnsi" w:cstheme="minorHAnsi"/>
          <w:sz w:val="22"/>
          <w:szCs w:val="22"/>
        </w:rPr>
        <w:t xml:space="preserve">Medical costs — Medicare Part B co-insurance </w:t>
      </w:r>
    </w:p>
    <w:p w:rsidR="00F77E85" w:rsidRPr="00E537C9" w:rsidRDefault="00F77E85" w:rsidP="00E537C9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537C9">
        <w:rPr>
          <w:rStyle w:val="A5"/>
          <w:rFonts w:asciiTheme="minorHAnsi" w:hAnsiTheme="minorHAnsi" w:cstheme="minorHAnsi"/>
          <w:sz w:val="22"/>
          <w:szCs w:val="22"/>
        </w:rPr>
        <w:t xml:space="preserve">Blood — first three pints each year </w:t>
      </w:r>
    </w:p>
    <w:p w:rsidR="00F77E85" w:rsidRPr="00E537C9" w:rsidRDefault="00F77E85" w:rsidP="00E537C9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537C9">
        <w:rPr>
          <w:rStyle w:val="A5"/>
          <w:rFonts w:asciiTheme="minorHAnsi" w:hAnsiTheme="minorHAnsi" w:cstheme="minorHAnsi"/>
          <w:sz w:val="22"/>
          <w:szCs w:val="22"/>
        </w:rPr>
        <w:t xml:space="preserve">Hospice — covers co-insurance </w:t>
      </w:r>
    </w:p>
    <w:p w:rsidR="00F77E85" w:rsidRPr="00E537C9" w:rsidRDefault="00F77E85" w:rsidP="00E537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5049F" w:rsidRDefault="00F77E85" w:rsidP="00E537C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/>
        </w:rPr>
      </w:pPr>
      <w:r w:rsidRPr="00E537C9">
        <w:rPr>
          <w:rFonts w:cstheme="minorHAnsi"/>
          <w:color w:val="000000"/>
        </w:rPr>
        <w:t xml:space="preserve">The Supplement 1 plan covers additional costs. </w:t>
      </w:r>
    </w:p>
    <w:p w:rsidR="0055049F" w:rsidRDefault="0055049F" w:rsidP="0055049F">
      <w:pPr>
        <w:spacing w:after="0" w:line="240" w:lineRule="auto"/>
        <w:rPr>
          <w:rFonts w:cstheme="minorHAnsi"/>
          <w:color w:val="000000"/>
        </w:rPr>
      </w:pPr>
    </w:p>
    <w:p w:rsidR="00F77E85" w:rsidRPr="0055049F" w:rsidRDefault="0055049F" w:rsidP="00E537C9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5049F">
        <w:rPr>
          <w:rFonts w:cstheme="minorHAnsi"/>
          <w:color w:val="000000"/>
          <w:sz w:val="28"/>
          <w:szCs w:val="28"/>
        </w:rPr>
        <w:t>A b</w:t>
      </w:r>
      <w:r w:rsidR="00F77E85" w:rsidRPr="0055049F">
        <w:rPr>
          <w:rFonts w:cstheme="minorHAnsi"/>
          <w:color w:val="000000"/>
          <w:sz w:val="28"/>
          <w:szCs w:val="28"/>
        </w:rPr>
        <w:t>reakdown of the differences between the two plans.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65"/>
        <w:gridCol w:w="2565"/>
        <w:gridCol w:w="2565"/>
      </w:tblGrid>
      <w:tr w:rsidR="00F77E85" w:rsidRPr="00E537C9" w:rsidTr="0055049F">
        <w:trPr>
          <w:trHeight w:val="144"/>
        </w:trPr>
        <w:tc>
          <w:tcPr>
            <w:tcW w:w="2565" w:type="dxa"/>
            <w:tcBorders>
              <w:bottom w:val="single" w:sz="4" w:space="0" w:color="auto"/>
            </w:tcBorders>
          </w:tcPr>
          <w:p w:rsidR="00F77E85" w:rsidRPr="0055049F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proofErr w:type="spellStart"/>
            <w:r w:rsidRPr="0055049F">
              <w:rPr>
                <w:rFonts w:cstheme="minorHAnsi"/>
                <w:b/>
                <w:color w:val="000000"/>
              </w:rPr>
              <w:t>Medigap</w:t>
            </w:r>
            <w:proofErr w:type="spellEnd"/>
            <w:r w:rsidRPr="0055049F">
              <w:rPr>
                <w:rFonts w:cstheme="minorHAnsi"/>
                <w:b/>
                <w:color w:val="000000"/>
              </w:rPr>
              <w:t xml:space="preserve"> Benefits </w:t>
            </w: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F77E85" w:rsidRPr="0055049F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55049F">
              <w:rPr>
                <w:rFonts w:cstheme="minorHAnsi"/>
                <w:b/>
                <w:color w:val="000000"/>
              </w:rPr>
              <w:t xml:space="preserve">Core Plan </w:t>
            </w:r>
          </w:p>
        </w:tc>
        <w:tc>
          <w:tcPr>
            <w:tcW w:w="2565" w:type="dxa"/>
            <w:tcBorders>
              <w:bottom w:val="single" w:sz="4" w:space="0" w:color="auto"/>
            </w:tcBorders>
          </w:tcPr>
          <w:p w:rsidR="00F77E85" w:rsidRPr="0055049F" w:rsidRDefault="0055049F" w:rsidP="0055049F">
            <w:pPr>
              <w:tabs>
                <w:tab w:val="left" w:pos="322"/>
                <w:tab w:val="center" w:pos="1174"/>
              </w:tabs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55049F">
              <w:rPr>
                <w:rFonts w:cstheme="minorHAnsi"/>
                <w:b/>
                <w:color w:val="000000"/>
              </w:rPr>
              <w:tab/>
            </w:r>
            <w:r w:rsidRPr="0055049F">
              <w:rPr>
                <w:rFonts w:cstheme="minorHAnsi"/>
                <w:b/>
                <w:color w:val="000000"/>
              </w:rPr>
              <w:tab/>
            </w:r>
            <w:r w:rsidR="00F77E85" w:rsidRPr="0055049F">
              <w:rPr>
                <w:rFonts w:cstheme="minorHAnsi"/>
                <w:b/>
                <w:color w:val="000000"/>
              </w:rPr>
              <w:t xml:space="preserve">Supplement 1 Plan </w:t>
            </w:r>
          </w:p>
        </w:tc>
      </w:tr>
      <w:tr w:rsidR="00F77E85" w:rsidRPr="00E537C9" w:rsidTr="0055049F">
        <w:trPr>
          <w:trHeight w:val="12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55049F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55049F">
              <w:rPr>
                <w:rFonts w:cstheme="minorHAnsi"/>
                <w:color w:val="000000"/>
              </w:rPr>
              <w:t xml:space="preserve">Basic benefits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55049F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55049F">
              <w:rPr>
                <w:rFonts w:cstheme="minorHAnsi"/>
                <w:color w:val="000000"/>
              </w:rPr>
              <w:t xml:space="preserve">Yes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55049F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55049F">
              <w:rPr>
                <w:rFonts w:cstheme="minorHAnsi"/>
                <w:color w:val="000000"/>
              </w:rPr>
              <w:t xml:space="preserve">Yes </w:t>
            </w:r>
          </w:p>
        </w:tc>
      </w:tr>
      <w:tr w:rsidR="00F77E85" w:rsidRPr="00E537C9" w:rsidTr="0055049F">
        <w:trPr>
          <w:trHeight w:val="12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Inpatient hospital deductible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No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Yes </w:t>
            </w:r>
          </w:p>
        </w:tc>
        <w:bookmarkStart w:id="0" w:name="_GoBack"/>
        <w:bookmarkEnd w:id="0"/>
      </w:tr>
      <w:tr w:rsidR="00F77E85" w:rsidRPr="00E537C9" w:rsidTr="0055049F">
        <w:trPr>
          <w:trHeight w:val="2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Skilled nursing facilities co-insurance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No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Yes </w:t>
            </w:r>
          </w:p>
        </w:tc>
      </w:tr>
      <w:tr w:rsidR="00F77E85" w:rsidRPr="00E537C9" w:rsidTr="0055049F">
        <w:trPr>
          <w:trHeight w:val="12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Part B deductible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No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Yes </w:t>
            </w:r>
          </w:p>
        </w:tc>
      </w:tr>
      <w:tr w:rsidR="00F77E85" w:rsidRPr="00E537C9" w:rsidTr="0055049F">
        <w:trPr>
          <w:trHeight w:val="12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Foreign travel emergency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No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Yes </w:t>
            </w:r>
          </w:p>
        </w:tc>
      </w:tr>
      <w:tr w:rsidR="00F77E85" w:rsidRPr="00E537C9" w:rsidTr="0055049F">
        <w:trPr>
          <w:trHeight w:val="2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Inpatient mental health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60 days per calendar year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120 days per benefit year </w:t>
            </w:r>
          </w:p>
        </w:tc>
      </w:tr>
      <w:tr w:rsidR="00F77E85" w:rsidRPr="00E537C9" w:rsidTr="0055049F">
        <w:trPr>
          <w:trHeight w:val="12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State-mandated preventive care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 xml:space="preserve">Yes 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E85" w:rsidRPr="00E537C9" w:rsidRDefault="00F77E85" w:rsidP="00E537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E537C9">
              <w:rPr>
                <w:rFonts w:cstheme="minorHAnsi"/>
                <w:color w:val="000000"/>
              </w:rPr>
              <w:t>Yes</w:t>
            </w:r>
          </w:p>
        </w:tc>
      </w:tr>
    </w:tbl>
    <w:p w:rsidR="00F77E85" w:rsidRPr="00E537C9" w:rsidRDefault="00F77E85" w:rsidP="00E537C9">
      <w:pPr>
        <w:spacing w:after="0" w:line="240" w:lineRule="auto"/>
        <w:rPr>
          <w:rFonts w:cstheme="minorHAnsi"/>
        </w:rPr>
      </w:pPr>
    </w:p>
    <w:sectPr w:rsidR="00F77E85" w:rsidRPr="00E5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E7C928D"/>
    <w:multiLevelType w:val="hybridMultilevel"/>
    <w:tmpl w:val="D4D6707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81610B0"/>
    <w:multiLevelType w:val="hybridMultilevel"/>
    <w:tmpl w:val="C212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85"/>
    <w:rsid w:val="0055049F"/>
    <w:rsid w:val="00C82F76"/>
    <w:rsid w:val="00E537C9"/>
    <w:rsid w:val="00F7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51F4A-EBB3-47E5-9625-2E08D8C4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E8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F77E85"/>
    <w:pPr>
      <w:spacing w:line="28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F77E85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F77E85"/>
    <w:rPr>
      <w:rFonts w:ascii="Garamond" w:hAnsi="Garamond" w:cs="Garamond"/>
      <w:color w:val="000000"/>
    </w:rPr>
  </w:style>
  <w:style w:type="paragraph" w:customStyle="1" w:styleId="Pa13">
    <w:name w:val="Pa13"/>
    <w:basedOn w:val="Default"/>
    <w:next w:val="Default"/>
    <w:uiPriority w:val="99"/>
    <w:rsid w:val="00F77E85"/>
    <w:pPr>
      <w:spacing w:line="20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F77E85"/>
    <w:pPr>
      <w:spacing w:line="20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E5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ADCCFFBB</Template>
  <TotalTime>18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3</cp:revision>
  <dcterms:created xsi:type="dcterms:W3CDTF">2019-03-27T19:17:00Z</dcterms:created>
  <dcterms:modified xsi:type="dcterms:W3CDTF">2019-04-03T15:40:00Z</dcterms:modified>
</cp:coreProperties>
</file>