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04" w:rsidRPr="002A13F2" w:rsidRDefault="00E25B04" w:rsidP="00E25B04">
      <w:pPr>
        <w:pStyle w:val="Pa5"/>
        <w:rPr>
          <w:rFonts w:asciiTheme="minorHAnsi" w:hAnsiTheme="minorHAnsi" w:cstheme="minorHAnsi"/>
          <w:color w:val="000000"/>
          <w:sz w:val="28"/>
          <w:szCs w:val="28"/>
        </w:rPr>
      </w:pPr>
      <w:r w:rsidRPr="002A13F2">
        <w:rPr>
          <w:rFonts w:asciiTheme="minorHAnsi" w:hAnsiTheme="minorHAnsi" w:cstheme="minorHAnsi"/>
          <w:color w:val="000000"/>
          <w:sz w:val="28"/>
          <w:szCs w:val="28"/>
        </w:rPr>
        <w:t xml:space="preserve">Minnesota </w:t>
      </w:r>
      <w:proofErr w:type="spellStart"/>
      <w:r w:rsidRPr="002A13F2">
        <w:rPr>
          <w:rFonts w:asciiTheme="minorHAnsi" w:hAnsiTheme="minorHAnsi" w:cstheme="minorHAnsi"/>
          <w:color w:val="000000"/>
          <w:sz w:val="28"/>
          <w:szCs w:val="28"/>
        </w:rPr>
        <w:t>Medigap</w:t>
      </w:r>
      <w:proofErr w:type="spellEnd"/>
      <w:r w:rsidRPr="002A13F2">
        <w:rPr>
          <w:rFonts w:asciiTheme="minorHAnsi" w:hAnsiTheme="minorHAnsi" w:cstheme="minorHAnsi"/>
          <w:color w:val="000000"/>
          <w:sz w:val="28"/>
          <w:szCs w:val="28"/>
        </w:rPr>
        <w:t xml:space="preserve"> </w:t>
      </w:r>
    </w:p>
    <w:p w:rsidR="002A13F2" w:rsidRDefault="00E25B04" w:rsidP="002A13F2">
      <w:pPr>
        <w:pStyle w:val="Pa2"/>
        <w:spacing w:line="240" w:lineRule="auto"/>
        <w:rPr>
          <w:rFonts w:asciiTheme="minorHAnsi" w:hAnsiTheme="minorHAnsi" w:cstheme="minorHAnsi"/>
          <w:color w:val="000000"/>
          <w:sz w:val="22"/>
          <w:szCs w:val="22"/>
        </w:rPr>
      </w:pPr>
      <w:r w:rsidRPr="002A13F2">
        <w:rPr>
          <w:rFonts w:asciiTheme="minorHAnsi" w:hAnsiTheme="minorHAnsi" w:cstheme="minorHAnsi"/>
          <w:color w:val="000000"/>
          <w:sz w:val="22"/>
          <w:szCs w:val="22"/>
        </w:rPr>
        <w:t xml:space="preserve">Minnesota’s standard </w:t>
      </w:r>
      <w:proofErr w:type="spellStart"/>
      <w:r w:rsidRPr="002A13F2">
        <w:rPr>
          <w:rFonts w:asciiTheme="minorHAnsi" w:hAnsiTheme="minorHAnsi" w:cstheme="minorHAnsi"/>
          <w:color w:val="000000"/>
          <w:sz w:val="22"/>
          <w:szCs w:val="22"/>
        </w:rPr>
        <w:t>Medigap</w:t>
      </w:r>
      <w:proofErr w:type="spellEnd"/>
      <w:r w:rsidRPr="002A13F2">
        <w:rPr>
          <w:rFonts w:asciiTheme="minorHAnsi" w:hAnsiTheme="minorHAnsi" w:cstheme="minorHAnsi"/>
          <w:color w:val="000000"/>
          <w:sz w:val="22"/>
          <w:szCs w:val="22"/>
        </w:rPr>
        <w:t xml:space="preserve"> plan is a bit more complex than traditional plans. Aside from two plan types, </w:t>
      </w:r>
      <w:proofErr w:type="gramStart"/>
      <w:r w:rsidRPr="002A13F2">
        <w:rPr>
          <w:rFonts w:asciiTheme="minorHAnsi" w:hAnsiTheme="minorHAnsi" w:cstheme="minorHAnsi"/>
          <w:color w:val="000000"/>
          <w:sz w:val="22"/>
          <w:szCs w:val="22"/>
        </w:rPr>
        <w:t>Basic</w:t>
      </w:r>
      <w:proofErr w:type="gramEnd"/>
      <w:r w:rsidRPr="002A13F2">
        <w:rPr>
          <w:rFonts w:asciiTheme="minorHAnsi" w:hAnsiTheme="minorHAnsi" w:cstheme="minorHAnsi"/>
          <w:color w:val="000000"/>
          <w:sz w:val="22"/>
          <w:szCs w:val="22"/>
        </w:rPr>
        <w:t xml:space="preserve"> and Extended, there are also additional riders that can be chosen</w:t>
      </w:r>
      <w:r w:rsidR="002A13F2">
        <w:rPr>
          <w:rFonts w:asciiTheme="minorHAnsi" w:hAnsiTheme="minorHAnsi" w:cstheme="minorHAnsi"/>
          <w:color w:val="000000"/>
          <w:sz w:val="22"/>
          <w:szCs w:val="22"/>
        </w:rPr>
        <w:t>, which</w:t>
      </w:r>
      <w:r w:rsidRPr="002A13F2">
        <w:rPr>
          <w:rFonts w:asciiTheme="minorHAnsi" w:hAnsiTheme="minorHAnsi" w:cstheme="minorHAnsi"/>
          <w:color w:val="000000"/>
          <w:sz w:val="22"/>
          <w:szCs w:val="22"/>
        </w:rPr>
        <w:t xml:space="preserve"> allow individuals more control over cost and </w:t>
      </w:r>
      <w:r w:rsidR="002A13F2">
        <w:rPr>
          <w:rFonts w:asciiTheme="minorHAnsi" w:hAnsiTheme="minorHAnsi" w:cstheme="minorHAnsi"/>
          <w:color w:val="000000"/>
          <w:sz w:val="22"/>
          <w:szCs w:val="22"/>
        </w:rPr>
        <w:t>benefits</w:t>
      </w:r>
      <w:r w:rsidRPr="002A13F2">
        <w:rPr>
          <w:rFonts w:asciiTheme="minorHAnsi" w:hAnsiTheme="minorHAnsi" w:cstheme="minorHAnsi"/>
          <w:color w:val="000000"/>
          <w:sz w:val="22"/>
          <w:szCs w:val="22"/>
        </w:rPr>
        <w:t xml:space="preserve">. </w:t>
      </w:r>
    </w:p>
    <w:p w:rsidR="002A13F2" w:rsidRDefault="002A13F2" w:rsidP="002A13F2">
      <w:pPr>
        <w:pStyle w:val="Pa2"/>
        <w:spacing w:line="240" w:lineRule="auto"/>
        <w:rPr>
          <w:rFonts w:asciiTheme="minorHAnsi" w:hAnsiTheme="minorHAnsi" w:cstheme="minorHAnsi"/>
          <w:color w:val="000000"/>
          <w:sz w:val="22"/>
          <w:szCs w:val="22"/>
        </w:rPr>
      </w:pPr>
    </w:p>
    <w:p w:rsidR="00E25B04" w:rsidRPr="002A13F2" w:rsidRDefault="00E25B04" w:rsidP="002A13F2">
      <w:pPr>
        <w:pStyle w:val="Pa2"/>
        <w:spacing w:line="240" w:lineRule="auto"/>
        <w:rPr>
          <w:rFonts w:asciiTheme="minorHAnsi" w:hAnsiTheme="minorHAnsi" w:cstheme="minorHAnsi"/>
          <w:color w:val="000000"/>
          <w:sz w:val="22"/>
          <w:szCs w:val="22"/>
        </w:rPr>
      </w:pPr>
      <w:r w:rsidRPr="002A13F2">
        <w:rPr>
          <w:rFonts w:asciiTheme="minorHAnsi" w:hAnsiTheme="minorHAnsi" w:cstheme="minorHAnsi"/>
          <w:color w:val="000000"/>
          <w:sz w:val="22"/>
          <w:szCs w:val="22"/>
        </w:rPr>
        <w:t xml:space="preserve">Both plans cover the following </w:t>
      </w:r>
      <w:r w:rsidR="002A13F2">
        <w:rPr>
          <w:rFonts w:asciiTheme="minorHAnsi" w:hAnsiTheme="minorHAnsi" w:cstheme="minorHAnsi"/>
          <w:color w:val="000000"/>
          <w:sz w:val="22"/>
          <w:szCs w:val="22"/>
        </w:rPr>
        <w:t>general</w:t>
      </w:r>
      <w:r w:rsidRPr="002A13F2">
        <w:rPr>
          <w:rFonts w:asciiTheme="minorHAnsi" w:hAnsiTheme="minorHAnsi" w:cstheme="minorHAnsi"/>
          <w:color w:val="000000"/>
          <w:sz w:val="22"/>
          <w:szCs w:val="22"/>
        </w:rPr>
        <w:t xml:space="preserve"> benefits: </w:t>
      </w:r>
    </w:p>
    <w:p w:rsidR="00E25B04" w:rsidRPr="002A13F2" w:rsidRDefault="00E25B04" w:rsidP="002A13F2">
      <w:pPr>
        <w:pStyle w:val="Default"/>
        <w:numPr>
          <w:ilvl w:val="0"/>
          <w:numId w:val="4"/>
        </w:numPr>
        <w:rPr>
          <w:rFonts w:asciiTheme="minorHAnsi" w:hAnsiTheme="minorHAnsi" w:cstheme="minorHAnsi"/>
          <w:sz w:val="22"/>
          <w:szCs w:val="22"/>
        </w:rPr>
      </w:pPr>
      <w:r w:rsidRPr="002A13F2">
        <w:rPr>
          <w:rStyle w:val="A5"/>
          <w:rFonts w:asciiTheme="minorHAnsi" w:hAnsiTheme="minorHAnsi" w:cstheme="minorHAnsi"/>
          <w:sz w:val="22"/>
          <w:szCs w:val="22"/>
        </w:rPr>
        <w:t xml:space="preserve">Inpatient hospital care — Part A co-insurance </w:t>
      </w:r>
    </w:p>
    <w:p w:rsidR="00E25B04" w:rsidRPr="002A13F2" w:rsidRDefault="00E25B04" w:rsidP="002A13F2">
      <w:pPr>
        <w:pStyle w:val="Default"/>
        <w:numPr>
          <w:ilvl w:val="0"/>
          <w:numId w:val="4"/>
        </w:numPr>
        <w:rPr>
          <w:rFonts w:asciiTheme="minorHAnsi" w:hAnsiTheme="minorHAnsi" w:cstheme="minorHAnsi"/>
          <w:sz w:val="22"/>
          <w:szCs w:val="22"/>
        </w:rPr>
      </w:pPr>
      <w:r w:rsidRPr="002A13F2">
        <w:rPr>
          <w:rStyle w:val="A5"/>
          <w:rFonts w:asciiTheme="minorHAnsi" w:hAnsiTheme="minorHAnsi" w:cstheme="minorHAnsi"/>
          <w:sz w:val="22"/>
          <w:szCs w:val="22"/>
        </w:rPr>
        <w:t xml:space="preserve">Medical costs — Part B co-insurance </w:t>
      </w:r>
    </w:p>
    <w:p w:rsidR="00E25B04" w:rsidRPr="002A13F2" w:rsidRDefault="00E25B04" w:rsidP="002A13F2">
      <w:pPr>
        <w:pStyle w:val="Default"/>
        <w:numPr>
          <w:ilvl w:val="0"/>
          <w:numId w:val="4"/>
        </w:numPr>
        <w:rPr>
          <w:rFonts w:asciiTheme="minorHAnsi" w:hAnsiTheme="minorHAnsi" w:cstheme="minorHAnsi"/>
          <w:sz w:val="22"/>
          <w:szCs w:val="22"/>
        </w:rPr>
      </w:pPr>
      <w:r w:rsidRPr="002A13F2">
        <w:rPr>
          <w:rStyle w:val="A5"/>
          <w:rFonts w:asciiTheme="minorHAnsi" w:hAnsiTheme="minorHAnsi" w:cstheme="minorHAnsi"/>
          <w:sz w:val="22"/>
          <w:szCs w:val="22"/>
        </w:rPr>
        <w:t xml:space="preserve">Blood — first three pints each year </w:t>
      </w:r>
    </w:p>
    <w:p w:rsidR="00E25B04" w:rsidRPr="002A13F2" w:rsidRDefault="00E25B04" w:rsidP="002A13F2">
      <w:pPr>
        <w:pStyle w:val="Default"/>
        <w:numPr>
          <w:ilvl w:val="0"/>
          <w:numId w:val="4"/>
        </w:numPr>
        <w:rPr>
          <w:rFonts w:asciiTheme="minorHAnsi" w:hAnsiTheme="minorHAnsi" w:cstheme="minorHAnsi"/>
          <w:sz w:val="22"/>
          <w:szCs w:val="22"/>
        </w:rPr>
      </w:pPr>
      <w:r w:rsidRPr="002A13F2">
        <w:rPr>
          <w:rStyle w:val="A5"/>
          <w:rFonts w:asciiTheme="minorHAnsi" w:hAnsiTheme="minorHAnsi" w:cstheme="minorHAnsi"/>
          <w:sz w:val="22"/>
          <w:szCs w:val="22"/>
        </w:rPr>
        <w:t xml:space="preserve">Part A — hospice and respite cost sharing </w:t>
      </w:r>
    </w:p>
    <w:p w:rsidR="00E25B04" w:rsidRDefault="00E25B04" w:rsidP="002A13F2">
      <w:pPr>
        <w:pStyle w:val="Default"/>
        <w:numPr>
          <w:ilvl w:val="0"/>
          <w:numId w:val="4"/>
        </w:numPr>
        <w:rPr>
          <w:rStyle w:val="A5"/>
          <w:rFonts w:asciiTheme="minorHAnsi" w:hAnsiTheme="minorHAnsi" w:cstheme="minorHAnsi"/>
          <w:sz w:val="22"/>
          <w:szCs w:val="22"/>
        </w:rPr>
      </w:pPr>
      <w:r w:rsidRPr="002A13F2">
        <w:rPr>
          <w:rStyle w:val="A5"/>
          <w:rFonts w:asciiTheme="minorHAnsi" w:hAnsiTheme="minorHAnsi" w:cstheme="minorHAnsi"/>
          <w:sz w:val="22"/>
          <w:szCs w:val="22"/>
        </w:rPr>
        <w:t xml:space="preserve">Part A and Part B — home health services and supplies cost sharing </w:t>
      </w:r>
    </w:p>
    <w:p w:rsidR="002A13F2" w:rsidRPr="002A13F2" w:rsidRDefault="002A13F2" w:rsidP="002A13F2">
      <w:pPr>
        <w:pStyle w:val="Default"/>
        <w:ind w:left="720"/>
        <w:rPr>
          <w:rFonts w:asciiTheme="minorHAnsi" w:hAnsiTheme="minorHAnsi" w:cstheme="minorHAnsi"/>
          <w:sz w:val="22"/>
          <w:szCs w:val="22"/>
        </w:rPr>
      </w:pPr>
    </w:p>
    <w:p w:rsidR="00E25B04" w:rsidRPr="002A13F2" w:rsidRDefault="00E25B04" w:rsidP="002A13F2">
      <w:pPr>
        <w:autoSpaceDE w:val="0"/>
        <w:autoSpaceDN w:val="0"/>
        <w:adjustRightInd w:val="0"/>
        <w:spacing w:after="0" w:line="240" w:lineRule="auto"/>
        <w:rPr>
          <w:rFonts w:cstheme="minorHAnsi"/>
          <w:color w:val="000000"/>
        </w:rPr>
      </w:pPr>
      <w:r w:rsidRPr="002A13F2">
        <w:rPr>
          <w:rFonts w:cstheme="minorHAnsi"/>
          <w:color w:val="000000"/>
        </w:rPr>
        <w:t xml:space="preserve">The four basic riders improve upon the </w:t>
      </w:r>
      <w:r w:rsidR="002A13F2">
        <w:rPr>
          <w:rFonts w:cstheme="minorHAnsi"/>
          <w:color w:val="000000"/>
        </w:rPr>
        <w:t>B</w:t>
      </w:r>
      <w:r w:rsidRPr="002A13F2">
        <w:rPr>
          <w:rFonts w:cstheme="minorHAnsi"/>
          <w:color w:val="000000"/>
        </w:rPr>
        <w:t xml:space="preserve">asic plans benefits and are included in the Extended Basic plan already. Insurance carriers have the option, but are not required, to offer the four additional riders. The four riders cover: </w:t>
      </w:r>
    </w:p>
    <w:p w:rsidR="00E25B04" w:rsidRPr="002A13F2" w:rsidRDefault="00E25B04" w:rsidP="002A13F2">
      <w:pPr>
        <w:pStyle w:val="ListParagraph"/>
        <w:numPr>
          <w:ilvl w:val="0"/>
          <w:numId w:val="6"/>
        </w:numPr>
        <w:autoSpaceDE w:val="0"/>
        <w:autoSpaceDN w:val="0"/>
        <w:adjustRightInd w:val="0"/>
        <w:spacing w:after="0" w:line="240" w:lineRule="auto"/>
        <w:rPr>
          <w:rFonts w:cstheme="minorHAnsi"/>
          <w:color w:val="000000"/>
        </w:rPr>
      </w:pPr>
      <w:r w:rsidRPr="002A13F2">
        <w:rPr>
          <w:rFonts w:cstheme="minorHAnsi"/>
          <w:color w:val="000000"/>
        </w:rPr>
        <w:t xml:space="preserve">Part A deductible </w:t>
      </w:r>
    </w:p>
    <w:p w:rsidR="00E25B04" w:rsidRPr="002A13F2" w:rsidRDefault="00E25B04" w:rsidP="002A13F2">
      <w:pPr>
        <w:pStyle w:val="ListParagraph"/>
        <w:numPr>
          <w:ilvl w:val="0"/>
          <w:numId w:val="6"/>
        </w:numPr>
        <w:autoSpaceDE w:val="0"/>
        <w:autoSpaceDN w:val="0"/>
        <w:adjustRightInd w:val="0"/>
        <w:spacing w:after="0" w:line="240" w:lineRule="auto"/>
        <w:rPr>
          <w:rFonts w:cstheme="minorHAnsi"/>
          <w:color w:val="000000"/>
        </w:rPr>
      </w:pPr>
      <w:r w:rsidRPr="002A13F2">
        <w:rPr>
          <w:rFonts w:cstheme="minorHAnsi"/>
          <w:color w:val="000000"/>
        </w:rPr>
        <w:t xml:space="preserve">Part B deductible </w:t>
      </w:r>
    </w:p>
    <w:p w:rsidR="00E25B04" w:rsidRPr="002A13F2" w:rsidRDefault="00E25B04" w:rsidP="002A13F2">
      <w:pPr>
        <w:pStyle w:val="ListParagraph"/>
        <w:numPr>
          <w:ilvl w:val="0"/>
          <w:numId w:val="6"/>
        </w:numPr>
        <w:autoSpaceDE w:val="0"/>
        <w:autoSpaceDN w:val="0"/>
        <w:adjustRightInd w:val="0"/>
        <w:spacing w:after="0" w:line="240" w:lineRule="auto"/>
        <w:rPr>
          <w:rFonts w:cstheme="minorHAnsi"/>
          <w:color w:val="000000"/>
        </w:rPr>
      </w:pPr>
      <w:r w:rsidRPr="002A13F2">
        <w:rPr>
          <w:rFonts w:cstheme="minorHAnsi"/>
          <w:color w:val="000000"/>
        </w:rPr>
        <w:t xml:space="preserve">Usual and customary fees </w:t>
      </w:r>
    </w:p>
    <w:p w:rsidR="00E25B04" w:rsidRPr="002A13F2" w:rsidRDefault="00E25B04" w:rsidP="002A13F2">
      <w:pPr>
        <w:pStyle w:val="ListParagraph"/>
        <w:numPr>
          <w:ilvl w:val="0"/>
          <w:numId w:val="6"/>
        </w:numPr>
        <w:autoSpaceDE w:val="0"/>
        <w:autoSpaceDN w:val="0"/>
        <w:adjustRightInd w:val="0"/>
        <w:spacing w:after="0" w:line="240" w:lineRule="auto"/>
        <w:rPr>
          <w:rFonts w:cstheme="minorHAnsi"/>
          <w:color w:val="000000"/>
        </w:rPr>
      </w:pPr>
      <w:r w:rsidRPr="002A13F2">
        <w:rPr>
          <w:rFonts w:cstheme="minorHAnsi"/>
          <w:color w:val="000000"/>
        </w:rPr>
        <w:t xml:space="preserve">Non-Medicare preventive care </w:t>
      </w:r>
    </w:p>
    <w:p w:rsidR="00E25B04" w:rsidRPr="002A13F2" w:rsidRDefault="00E25B04" w:rsidP="002A13F2">
      <w:pPr>
        <w:autoSpaceDE w:val="0"/>
        <w:autoSpaceDN w:val="0"/>
        <w:adjustRightInd w:val="0"/>
        <w:spacing w:after="0" w:line="240" w:lineRule="auto"/>
        <w:rPr>
          <w:rFonts w:cstheme="minorHAnsi"/>
          <w:color w:val="000000"/>
        </w:rPr>
      </w:pPr>
    </w:p>
    <w:p w:rsidR="00C82F76" w:rsidRPr="002A13F2" w:rsidRDefault="002A13F2" w:rsidP="002A13F2">
      <w:pPr>
        <w:spacing w:after="0" w:line="240" w:lineRule="auto"/>
        <w:rPr>
          <w:rFonts w:cstheme="minorHAnsi"/>
          <w:color w:val="000000"/>
          <w:sz w:val="28"/>
          <w:szCs w:val="28"/>
        </w:rPr>
      </w:pPr>
      <w:r>
        <w:rPr>
          <w:rFonts w:cstheme="minorHAnsi"/>
          <w:color w:val="000000"/>
          <w:sz w:val="28"/>
          <w:szCs w:val="28"/>
        </w:rPr>
        <w:t>A</w:t>
      </w:r>
      <w:r w:rsidR="00E25B04" w:rsidRPr="002A13F2">
        <w:rPr>
          <w:rFonts w:cstheme="minorHAnsi"/>
          <w:color w:val="000000"/>
          <w:sz w:val="28"/>
          <w:szCs w:val="28"/>
        </w:rPr>
        <w:t xml:space="preserve"> breakdown of the differences between the Basic and Extended Basic Plans.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5"/>
        <w:gridCol w:w="2565"/>
        <w:gridCol w:w="2565"/>
      </w:tblGrid>
      <w:tr w:rsidR="000F2A63" w:rsidRPr="002A13F2" w:rsidTr="002A13F2">
        <w:trPr>
          <w:trHeight w:val="144"/>
        </w:trPr>
        <w:tc>
          <w:tcPr>
            <w:tcW w:w="2565" w:type="dxa"/>
            <w:tcBorders>
              <w:bottom w:val="single" w:sz="4" w:space="0" w:color="auto"/>
            </w:tcBorders>
          </w:tcPr>
          <w:p w:rsidR="000F2A63" w:rsidRPr="002A13F2" w:rsidRDefault="000F2A63" w:rsidP="002A13F2">
            <w:pPr>
              <w:autoSpaceDE w:val="0"/>
              <w:autoSpaceDN w:val="0"/>
              <w:adjustRightInd w:val="0"/>
              <w:spacing w:after="0" w:line="240" w:lineRule="auto"/>
              <w:rPr>
                <w:rFonts w:cstheme="minorHAnsi"/>
                <w:b/>
                <w:color w:val="000000"/>
              </w:rPr>
            </w:pPr>
            <w:proofErr w:type="spellStart"/>
            <w:r w:rsidRPr="002A13F2">
              <w:rPr>
                <w:rFonts w:cstheme="minorHAnsi"/>
                <w:b/>
                <w:color w:val="000000"/>
              </w:rPr>
              <w:t>Medigap</w:t>
            </w:r>
            <w:proofErr w:type="spellEnd"/>
            <w:r w:rsidRPr="002A13F2">
              <w:rPr>
                <w:rFonts w:cstheme="minorHAnsi"/>
                <w:b/>
                <w:color w:val="000000"/>
              </w:rPr>
              <w:t xml:space="preserve"> Benefits </w:t>
            </w:r>
          </w:p>
        </w:tc>
        <w:tc>
          <w:tcPr>
            <w:tcW w:w="2565" w:type="dxa"/>
            <w:tcBorders>
              <w:bottom w:val="single" w:sz="4" w:space="0" w:color="auto"/>
            </w:tcBorders>
          </w:tcPr>
          <w:p w:rsidR="000F2A63" w:rsidRPr="002A13F2" w:rsidRDefault="000F2A63" w:rsidP="002A13F2">
            <w:pPr>
              <w:autoSpaceDE w:val="0"/>
              <w:autoSpaceDN w:val="0"/>
              <w:adjustRightInd w:val="0"/>
              <w:spacing w:after="0" w:line="240" w:lineRule="auto"/>
              <w:jc w:val="center"/>
              <w:rPr>
                <w:rFonts w:cstheme="minorHAnsi"/>
                <w:b/>
                <w:color w:val="000000"/>
              </w:rPr>
            </w:pPr>
            <w:r w:rsidRPr="002A13F2">
              <w:rPr>
                <w:rFonts w:cstheme="minorHAnsi"/>
                <w:b/>
                <w:color w:val="000000"/>
              </w:rPr>
              <w:t xml:space="preserve">Basic Plan </w:t>
            </w:r>
          </w:p>
        </w:tc>
        <w:tc>
          <w:tcPr>
            <w:tcW w:w="2565" w:type="dxa"/>
            <w:tcBorders>
              <w:bottom w:val="single" w:sz="4" w:space="0" w:color="auto"/>
            </w:tcBorders>
          </w:tcPr>
          <w:p w:rsidR="000F2A63" w:rsidRPr="002A13F2" w:rsidRDefault="000F2A63" w:rsidP="002A13F2">
            <w:pPr>
              <w:autoSpaceDE w:val="0"/>
              <w:autoSpaceDN w:val="0"/>
              <w:adjustRightInd w:val="0"/>
              <w:spacing w:after="0" w:line="240" w:lineRule="auto"/>
              <w:jc w:val="center"/>
              <w:rPr>
                <w:rFonts w:cstheme="minorHAnsi"/>
                <w:b/>
                <w:color w:val="000000"/>
              </w:rPr>
            </w:pPr>
            <w:r w:rsidRPr="002A13F2">
              <w:rPr>
                <w:rFonts w:cstheme="minorHAnsi"/>
                <w:b/>
                <w:color w:val="000000"/>
              </w:rPr>
              <w:t xml:space="preserve">Extended Basic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Basic benefits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Part A deductible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No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r>
      <w:tr w:rsidR="000F2A63" w:rsidRPr="002A13F2" w:rsidTr="002A13F2">
        <w:trPr>
          <w:trHeight w:val="24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Skilled nursing facilities co-insurance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100 days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120 Days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Part B deductible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No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Foreign travel emergency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80%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80%* </w:t>
            </w:r>
          </w:p>
        </w:tc>
        <w:bookmarkStart w:id="0" w:name="_GoBack"/>
        <w:bookmarkEnd w:id="0"/>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Outpatient mental health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20%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20%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Usual and customary fees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No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80%*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Medicare-covered preventive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Physical therapy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20%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20%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Coverage in another country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No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80%* </w:t>
            </w:r>
          </w:p>
        </w:tc>
      </w:tr>
      <w:tr w:rsidR="000F2A63" w:rsidRPr="002A13F2" w:rsidTr="002A13F2">
        <w:trPr>
          <w:trHeight w:val="120"/>
        </w:trPr>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rPr>
                <w:rFonts w:cstheme="minorHAnsi"/>
                <w:color w:val="000000"/>
              </w:rPr>
            </w:pPr>
            <w:r w:rsidRPr="002A13F2">
              <w:rPr>
                <w:rFonts w:cstheme="minorHAnsi"/>
                <w:color w:val="000000"/>
              </w:rPr>
              <w:t xml:space="preserve">State mandates**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c>
          <w:tcPr>
            <w:tcW w:w="2565" w:type="dxa"/>
            <w:tcBorders>
              <w:top w:val="single" w:sz="4" w:space="0" w:color="auto"/>
              <w:left w:val="single" w:sz="4" w:space="0" w:color="auto"/>
              <w:bottom w:val="single" w:sz="4" w:space="0" w:color="auto"/>
              <w:right w:val="single" w:sz="4" w:space="0" w:color="auto"/>
            </w:tcBorders>
          </w:tcPr>
          <w:p w:rsidR="000F2A63" w:rsidRPr="002A13F2" w:rsidRDefault="000F2A63" w:rsidP="002A13F2">
            <w:pPr>
              <w:autoSpaceDE w:val="0"/>
              <w:autoSpaceDN w:val="0"/>
              <w:adjustRightInd w:val="0"/>
              <w:spacing w:after="0" w:line="240" w:lineRule="auto"/>
              <w:jc w:val="center"/>
              <w:rPr>
                <w:rFonts w:cstheme="minorHAnsi"/>
                <w:color w:val="000000"/>
              </w:rPr>
            </w:pPr>
            <w:r w:rsidRPr="002A13F2">
              <w:rPr>
                <w:rFonts w:cstheme="minorHAnsi"/>
                <w:color w:val="000000"/>
              </w:rPr>
              <w:t xml:space="preserve">Yes </w:t>
            </w:r>
          </w:p>
        </w:tc>
      </w:tr>
    </w:tbl>
    <w:p w:rsidR="000F2A63" w:rsidRDefault="000F2A63" w:rsidP="002A13F2">
      <w:pPr>
        <w:spacing w:after="0" w:line="240" w:lineRule="auto"/>
      </w:pPr>
    </w:p>
    <w:sectPr w:rsidR="000F2A63" w:rsidSect="006D06FB">
      <w:pgSz w:w="12240" w:h="16340"/>
      <w:pgMar w:top="1471" w:right="626" w:bottom="457" w:left="8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0B6572"/>
    <w:multiLevelType w:val="hybridMultilevel"/>
    <w:tmpl w:val="9120C64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A0CA5CA"/>
    <w:multiLevelType w:val="hybridMultilevel"/>
    <w:tmpl w:val="114C5A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EB066A"/>
    <w:multiLevelType w:val="hybridMultilevel"/>
    <w:tmpl w:val="7A4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E4442"/>
    <w:multiLevelType w:val="hybridMultilevel"/>
    <w:tmpl w:val="A090436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D231C94"/>
    <w:multiLevelType w:val="hybridMultilevel"/>
    <w:tmpl w:val="43FC869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1994E2B"/>
    <w:multiLevelType w:val="hybridMultilevel"/>
    <w:tmpl w:val="3F98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04"/>
    <w:rsid w:val="000F2A63"/>
    <w:rsid w:val="002A13F2"/>
    <w:rsid w:val="00C82F76"/>
    <w:rsid w:val="00E2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A2724-F3C3-4984-82D5-414FC00E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5B04"/>
    <w:pPr>
      <w:autoSpaceDE w:val="0"/>
      <w:autoSpaceDN w:val="0"/>
      <w:adjustRightInd w:val="0"/>
      <w:spacing w:after="0" w:line="240" w:lineRule="auto"/>
    </w:pPr>
    <w:rPr>
      <w:rFonts w:ascii="Trebuchet MS" w:hAnsi="Trebuchet MS" w:cs="Trebuchet MS"/>
      <w:color w:val="000000"/>
      <w:sz w:val="24"/>
      <w:szCs w:val="24"/>
    </w:rPr>
  </w:style>
  <w:style w:type="paragraph" w:customStyle="1" w:styleId="Pa5">
    <w:name w:val="Pa5"/>
    <w:basedOn w:val="Default"/>
    <w:next w:val="Default"/>
    <w:uiPriority w:val="99"/>
    <w:rsid w:val="00E25B04"/>
    <w:pPr>
      <w:spacing w:line="281" w:lineRule="atLeast"/>
    </w:pPr>
    <w:rPr>
      <w:rFonts w:cstheme="minorBidi"/>
      <w:color w:val="auto"/>
    </w:rPr>
  </w:style>
  <w:style w:type="paragraph" w:customStyle="1" w:styleId="Pa2">
    <w:name w:val="Pa2"/>
    <w:basedOn w:val="Default"/>
    <w:next w:val="Default"/>
    <w:uiPriority w:val="99"/>
    <w:rsid w:val="00E25B04"/>
    <w:pPr>
      <w:spacing w:line="241" w:lineRule="atLeast"/>
    </w:pPr>
    <w:rPr>
      <w:rFonts w:cstheme="minorBidi"/>
      <w:color w:val="auto"/>
    </w:rPr>
  </w:style>
  <w:style w:type="character" w:customStyle="1" w:styleId="A5">
    <w:name w:val="A5"/>
    <w:uiPriority w:val="99"/>
    <w:rsid w:val="00E25B04"/>
    <w:rPr>
      <w:rFonts w:ascii="Garamond" w:hAnsi="Garamond" w:cs="Garamond"/>
      <w:color w:val="000000"/>
    </w:rPr>
  </w:style>
  <w:style w:type="paragraph" w:customStyle="1" w:styleId="Pa13">
    <w:name w:val="Pa13"/>
    <w:basedOn w:val="Default"/>
    <w:next w:val="Default"/>
    <w:uiPriority w:val="99"/>
    <w:rsid w:val="000F2A63"/>
    <w:pPr>
      <w:spacing w:line="201" w:lineRule="atLeast"/>
    </w:pPr>
    <w:rPr>
      <w:rFonts w:cstheme="minorBidi"/>
      <w:color w:val="auto"/>
    </w:rPr>
  </w:style>
  <w:style w:type="paragraph" w:customStyle="1" w:styleId="Pa9">
    <w:name w:val="Pa9"/>
    <w:basedOn w:val="Default"/>
    <w:next w:val="Default"/>
    <w:uiPriority w:val="99"/>
    <w:rsid w:val="000F2A63"/>
    <w:pPr>
      <w:spacing w:line="201" w:lineRule="atLeast"/>
    </w:pPr>
    <w:rPr>
      <w:rFonts w:cstheme="minorBidi"/>
      <w:color w:val="auto"/>
    </w:rPr>
  </w:style>
  <w:style w:type="paragraph" w:styleId="ListParagraph">
    <w:name w:val="List Paragraph"/>
    <w:basedOn w:val="Normal"/>
    <w:uiPriority w:val="34"/>
    <w:qFormat/>
    <w:rsid w:val="002A1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ADCCFFBB</Template>
  <TotalTime>9</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3</cp:revision>
  <dcterms:created xsi:type="dcterms:W3CDTF">2019-03-27T19:17:00Z</dcterms:created>
  <dcterms:modified xsi:type="dcterms:W3CDTF">2019-04-03T15:54:00Z</dcterms:modified>
</cp:coreProperties>
</file>