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4D5" w:rsidRDefault="005E1152" w:rsidP="005E1152">
      <w:pPr>
        <w:pStyle w:val="BodyText"/>
        <w:spacing w:line="276" w:lineRule="auto"/>
        <w:ind w:left="100"/>
        <w:rPr>
          <w:rFonts w:ascii="Arial Black"/>
        </w:rPr>
      </w:pPr>
      <w:r>
        <w:rPr>
          <w:rFonts w:ascii="Arial Black"/>
          <w:u w:val="single"/>
        </w:rPr>
        <w:t>Scope of Appointment Cheat Sheet</w:t>
      </w:r>
    </w:p>
    <w:p w:rsidR="00C904D5" w:rsidRDefault="00C904D5" w:rsidP="005E1152">
      <w:pPr>
        <w:pStyle w:val="BodyText"/>
        <w:spacing w:line="276" w:lineRule="auto"/>
        <w:rPr>
          <w:rFonts w:ascii="Arial Black"/>
          <w:sz w:val="13"/>
        </w:rPr>
      </w:pPr>
    </w:p>
    <w:p w:rsidR="00C904D5" w:rsidRDefault="005E1152" w:rsidP="005E1152">
      <w:pPr>
        <w:pStyle w:val="Heading2"/>
        <w:spacing w:line="276" w:lineRule="auto"/>
        <w:rPr>
          <w:u w:val="none"/>
        </w:rPr>
      </w:pPr>
      <w:r>
        <w:t>What is Scope of Appointment? (SOA)</w:t>
      </w:r>
    </w:p>
    <w:p w:rsidR="00C904D5" w:rsidRDefault="005E1152" w:rsidP="005E1152">
      <w:pPr>
        <w:pStyle w:val="BodyText"/>
        <w:spacing w:line="276" w:lineRule="auto"/>
        <w:ind w:left="100" w:right="94"/>
      </w:pPr>
      <w:r>
        <w:t>Scope of Appointment is a CMS requirement. When conducting marketing activities, an agent may not market any health care related product during a marketing appointment beyond the scope that the beneficiary agreed before the meeting with that individual. Pr</w:t>
      </w:r>
      <w:r>
        <w:t>ior to meeting with any Medicare eligible consumer on any Medicare Advantage or Part D Prescription Drug plan, the agent must obtain an agreement (Scope of Appointment) from the prospect advising that he/she will be presenting a Medicare Advantage plan and</w:t>
      </w:r>
      <w:r>
        <w:t>/or Part D Prescription Drug plan. Agents may discuss only those products that were agreed upon in advance.</w:t>
      </w:r>
    </w:p>
    <w:p w:rsidR="00C904D5" w:rsidRDefault="005E1152" w:rsidP="005E1152">
      <w:pPr>
        <w:spacing w:line="276" w:lineRule="auto"/>
        <w:ind w:left="100"/>
        <w:rPr>
          <w:i/>
          <w:sz w:val="20"/>
        </w:rPr>
      </w:pPr>
      <w:r>
        <w:rPr>
          <w:i/>
          <w:sz w:val="20"/>
        </w:rPr>
        <w:t>This includes:</w:t>
      </w:r>
    </w:p>
    <w:p w:rsidR="00C904D5" w:rsidRDefault="005E1152" w:rsidP="005E1152">
      <w:pPr>
        <w:pStyle w:val="ListParagraph"/>
        <w:numPr>
          <w:ilvl w:val="0"/>
          <w:numId w:val="2"/>
        </w:numPr>
        <w:tabs>
          <w:tab w:val="left" w:pos="820"/>
          <w:tab w:val="left" w:pos="821"/>
        </w:tabs>
        <w:spacing w:before="0" w:line="276" w:lineRule="auto"/>
        <w:ind w:hanging="361"/>
        <w:rPr>
          <w:rFonts w:ascii="Symbol" w:hAnsi="Symbol"/>
          <w:sz w:val="20"/>
        </w:rPr>
      </w:pPr>
      <w:r>
        <w:rPr>
          <w:sz w:val="20"/>
        </w:rPr>
        <w:t>Appointments with new</w:t>
      </w:r>
      <w:r>
        <w:rPr>
          <w:spacing w:val="-3"/>
          <w:sz w:val="20"/>
        </w:rPr>
        <w:t xml:space="preserve"> </w:t>
      </w:r>
      <w:r>
        <w:rPr>
          <w:sz w:val="20"/>
        </w:rPr>
        <w:t>members/clients</w:t>
      </w:r>
    </w:p>
    <w:p w:rsidR="00C904D5" w:rsidRDefault="005E1152" w:rsidP="005E1152">
      <w:pPr>
        <w:pStyle w:val="ListParagraph"/>
        <w:numPr>
          <w:ilvl w:val="0"/>
          <w:numId w:val="2"/>
        </w:numPr>
        <w:tabs>
          <w:tab w:val="left" w:pos="820"/>
          <w:tab w:val="left" w:pos="821"/>
        </w:tabs>
        <w:spacing w:before="0" w:line="276" w:lineRule="auto"/>
        <w:ind w:right="213"/>
        <w:rPr>
          <w:rFonts w:ascii="Symbol" w:hAnsi="Symbol"/>
          <w:sz w:val="20"/>
        </w:rPr>
      </w:pPr>
      <w:r>
        <w:rPr>
          <w:sz w:val="20"/>
        </w:rPr>
        <w:t>In-home</w:t>
      </w:r>
      <w:r>
        <w:rPr>
          <w:spacing w:val="-3"/>
          <w:sz w:val="20"/>
        </w:rPr>
        <w:t xml:space="preserve"> </w:t>
      </w:r>
      <w:r>
        <w:rPr>
          <w:sz w:val="20"/>
        </w:rPr>
        <w:t>sales</w:t>
      </w:r>
      <w:r>
        <w:rPr>
          <w:spacing w:val="-5"/>
          <w:sz w:val="20"/>
        </w:rPr>
        <w:t xml:space="preserve"> </w:t>
      </w:r>
      <w:r>
        <w:rPr>
          <w:sz w:val="20"/>
        </w:rPr>
        <w:t>appointments</w:t>
      </w:r>
      <w:r>
        <w:rPr>
          <w:spacing w:val="-2"/>
          <w:sz w:val="20"/>
        </w:rPr>
        <w:t xml:space="preserve"> </w:t>
      </w:r>
      <w:r>
        <w:rPr>
          <w:sz w:val="20"/>
        </w:rPr>
        <w:t>or</w:t>
      </w:r>
      <w:r>
        <w:rPr>
          <w:spacing w:val="-3"/>
          <w:sz w:val="20"/>
        </w:rPr>
        <w:t xml:space="preserve"> </w:t>
      </w:r>
      <w:r>
        <w:rPr>
          <w:sz w:val="20"/>
        </w:rPr>
        <w:t>personal/individual</w:t>
      </w:r>
      <w:r>
        <w:rPr>
          <w:spacing w:val="-4"/>
          <w:sz w:val="20"/>
        </w:rPr>
        <w:t xml:space="preserve"> </w:t>
      </w:r>
      <w:r>
        <w:rPr>
          <w:sz w:val="20"/>
        </w:rPr>
        <w:t>appointments</w:t>
      </w:r>
      <w:r>
        <w:rPr>
          <w:spacing w:val="-1"/>
          <w:sz w:val="20"/>
        </w:rPr>
        <w:t xml:space="preserve"> </w:t>
      </w:r>
      <w:r>
        <w:rPr>
          <w:sz w:val="20"/>
        </w:rPr>
        <w:t>with</w:t>
      </w:r>
      <w:r>
        <w:rPr>
          <w:spacing w:val="-3"/>
          <w:sz w:val="20"/>
        </w:rPr>
        <w:t xml:space="preserve"> </w:t>
      </w:r>
      <w:r>
        <w:rPr>
          <w:sz w:val="20"/>
        </w:rPr>
        <w:t>an</w:t>
      </w:r>
      <w:r>
        <w:rPr>
          <w:spacing w:val="-4"/>
          <w:sz w:val="20"/>
        </w:rPr>
        <w:t xml:space="preserve"> </w:t>
      </w:r>
      <w:r>
        <w:rPr>
          <w:sz w:val="20"/>
        </w:rPr>
        <w:t>existing</w:t>
      </w:r>
      <w:r>
        <w:rPr>
          <w:spacing w:val="-1"/>
          <w:sz w:val="20"/>
        </w:rPr>
        <w:t xml:space="preserve"> </w:t>
      </w:r>
      <w:r>
        <w:rPr>
          <w:sz w:val="20"/>
        </w:rPr>
        <w:t>member/clients</w:t>
      </w:r>
      <w:r>
        <w:rPr>
          <w:spacing w:val="-6"/>
          <w:sz w:val="20"/>
        </w:rPr>
        <w:t xml:space="preserve"> </w:t>
      </w:r>
      <w:r>
        <w:rPr>
          <w:sz w:val="20"/>
        </w:rPr>
        <w:t>in</w:t>
      </w:r>
      <w:r>
        <w:rPr>
          <w:spacing w:val="-2"/>
          <w:sz w:val="20"/>
        </w:rPr>
        <w:t xml:space="preserve"> </w:t>
      </w:r>
      <w:r>
        <w:rPr>
          <w:sz w:val="20"/>
        </w:rPr>
        <w:t>the office, coffee shop, or similar</w:t>
      </w:r>
      <w:r>
        <w:rPr>
          <w:spacing w:val="2"/>
          <w:sz w:val="20"/>
        </w:rPr>
        <w:t xml:space="preserve"> </w:t>
      </w:r>
      <w:r>
        <w:rPr>
          <w:sz w:val="20"/>
        </w:rPr>
        <w:t>location</w:t>
      </w:r>
    </w:p>
    <w:p w:rsidR="00C904D5" w:rsidRDefault="005E1152" w:rsidP="005E1152">
      <w:pPr>
        <w:spacing w:line="276" w:lineRule="auto"/>
        <w:ind w:left="100"/>
        <w:rPr>
          <w:i/>
          <w:sz w:val="20"/>
        </w:rPr>
      </w:pPr>
      <w:r>
        <w:rPr>
          <w:i/>
          <w:sz w:val="20"/>
        </w:rPr>
        <w:t>Scope of Appointment is NOT required for:</w:t>
      </w:r>
    </w:p>
    <w:p w:rsidR="00C904D5" w:rsidRDefault="005E1152" w:rsidP="005E1152">
      <w:pPr>
        <w:pStyle w:val="ListParagraph"/>
        <w:numPr>
          <w:ilvl w:val="0"/>
          <w:numId w:val="2"/>
        </w:numPr>
        <w:tabs>
          <w:tab w:val="left" w:pos="820"/>
          <w:tab w:val="left" w:pos="821"/>
        </w:tabs>
        <w:spacing w:before="0" w:line="276" w:lineRule="auto"/>
        <w:ind w:hanging="361"/>
        <w:rPr>
          <w:rFonts w:ascii="Symbol" w:hAnsi="Symbol"/>
          <w:sz w:val="20"/>
        </w:rPr>
      </w:pPr>
      <w:r>
        <w:rPr>
          <w:sz w:val="20"/>
        </w:rPr>
        <w:t>Formal/Informal Sales events [these are already reported to CMS]</w:t>
      </w:r>
    </w:p>
    <w:p w:rsidR="00C904D5" w:rsidRDefault="005E1152" w:rsidP="005E1152">
      <w:pPr>
        <w:pStyle w:val="ListParagraph"/>
        <w:numPr>
          <w:ilvl w:val="0"/>
          <w:numId w:val="2"/>
        </w:numPr>
        <w:tabs>
          <w:tab w:val="left" w:pos="820"/>
          <w:tab w:val="left" w:pos="821"/>
        </w:tabs>
        <w:spacing w:before="0" w:line="276" w:lineRule="auto"/>
        <w:ind w:hanging="361"/>
        <w:rPr>
          <w:rFonts w:ascii="Symbol" w:hAnsi="Symbol"/>
          <w:sz w:val="20"/>
        </w:rPr>
      </w:pPr>
      <w:r>
        <w:rPr>
          <w:sz w:val="20"/>
        </w:rPr>
        <w:t>Educational events [SOAs cannot be displayed, distributed, or collected at an educational</w:t>
      </w:r>
      <w:r>
        <w:rPr>
          <w:spacing w:val="-14"/>
          <w:sz w:val="20"/>
        </w:rPr>
        <w:t xml:space="preserve"> </w:t>
      </w:r>
      <w:r>
        <w:rPr>
          <w:sz w:val="20"/>
        </w:rPr>
        <w:t>event]</w:t>
      </w:r>
    </w:p>
    <w:p w:rsidR="00C904D5" w:rsidRDefault="005E1152" w:rsidP="005E1152">
      <w:pPr>
        <w:pStyle w:val="ListParagraph"/>
        <w:numPr>
          <w:ilvl w:val="0"/>
          <w:numId w:val="2"/>
        </w:numPr>
        <w:tabs>
          <w:tab w:val="left" w:pos="820"/>
          <w:tab w:val="left" w:pos="821"/>
        </w:tabs>
        <w:spacing w:before="0" w:line="276" w:lineRule="auto"/>
        <w:ind w:right="264"/>
        <w:rPr>
          <w:rFonts w:ascii="Symbol" w:hAnsi="Symbol"/>
          <w:sz w:val="20"/>
        </w:rPr>
      </w:pPr>
      <w:r>
        <w:rPr>
          <w:sz w:val="20"/>
        </w:rPr>
        <w:t>Medi</w:t>
      </w:r>
      <w:r>
        <w:rPr>
          <w:sz w:val="20"/>
        </w:rPr>
        <w:t>care supplement presentations [though a suggested best practice is to secure a SOA prior to a Medicare</w:t>
      </w:r>
      <w:r>
        <w:rPr>
          <w:spacing w:val="-4"/>
          <w:sz w:val="20"/>
        </w:rPr>
        <w:t xml:space="preserve"> </w:t>
      </w:r>
      <w:r>
        <w:rPr>
          <w:sz w:val="20"/>
        </w:rPr>
        <w:t>Supplement</w:t>
      </w:r>
      <w:r>
        <w:rPr>
          <w:spacing w:val="-2"/>
          <w:sz w:val="20"/>
        </w:rPr>
        <w:t xml:space="preserve"> </w:t>
      </w:r>
      <w:r>
        <w:rPr>
          <w:sz w:val="20"/>
        </w:rPr>
        <w:t>appointment,</w:t>
      </w:r>
      <w:r>
        <w:rPr>
          <w:spacing w:val="-1"/>
          <w:sz w:val="20"/>
        </w:rPr>
        <w:t xml:space="preserve"> </w:t>
      </w:r>
      <w:r>
        <w:rPr>
          <w:sz w:val="20"/>
        </w:rPr>
        <w:t>in</w:t>
      </w:r>
      <w:r>
        <w:rPr>
          <w:spacing w:val="-2"/>
          <w:sz w:val="20"/>
        </w:rPr>
        <w:t xml:space="preserve"> </w:t>
      </w:r>
      <w:r>
        <w:rPr>
          <w:sz w:val="20"/>
        </w:rPr>
        <w:t>order</w:t>
      </w:r>
      <w:r>
        <w:rPr>
          <w:spacing w:val="-2"/>
          <w:sz w:val="20"/>
        </w:rPr>
        <w:t xml:space="preserve"> </w:t>
      </w:r>
      <w:r>
        <w:rPr>
          <w:sz w:val="20"/>
        </w:rPr>
        <w:t>to</w:t>
      </w:r>
      <w:r>
        <w:rPr>
          <w:spacing w:val="-3"/>
          <w:sz w:val="20"/>
        </w:rPr>
        <w:t xml:space="preserve"> </w:t>
      </w:r>
      <w:r>
        <w:rPr>
          <w:sz w:val="20"/>
        </w:rPr>
        <w:t>present</w:t>
      </w:r>
      <w:r>
        <w:rPr>
          <w:spacing w:val="-2"/>
          <w:sz w:val="20"/>
        </w:rPr>
        <w:t xml:space="preserve"> </w:t>
      </w:r>
      <w:r>
        <w:rPr>
          <w:sz w:val="20"/>
        </w:rPr>
        <w:t>PDP</w:t>
      </w:r>
      <w:r>
        <w:rPr>
          <w:spacing w:val="-2"/>
          <w:sz w:val="20"/>
        </w:rPr>
        <w:t xml:space="preserve"> </w:t>
      </w:r>
      <w:r>
        <w:rPr>
          <w:sz w:val="20"/>
        </w:rPr>
        <w:t>options</w:t>
      </w:r>
      <w:r>
        <w:rPr>
          <w:spacing w:val="-4"/>
          <w:sz w:val="20"/>
        </w:rPr>
        <w:t xml:space="preserve"> </w:t>
      </w:r>
      <w:r>
        <w:rPr>
          <w:sz w:val="20"/>
        </w:rPr>
        <w:t>in</w:t>
      </w:r>
      <w:r>
        <w:rPr>
          <w:spacing w:val="-1"/>
          <w:sz w:val="20"/>
        </w:rPr>
        <w:t xml:space="preserve"> </w:t>
      </w:r>
      <w:r>
        <w:rPr>
          <w:sz w:val="20"/>
        </w:rPr>
        <w:t>the</w:t>
      </w:r>
      <w:r>
        <w:rPr>
          <w:spacing w:val="-3"/>
          <w:sz w:val="20"/>
        </w:rPr>
        <w:t xml:space="preserve"> </w:t>
      </w:r>
      <w:r>
        <w:rPr>
          <w:sz w:val="20"/>
        </w:rPr>
        <w:t>event</w:t>
      </w:r>
      <w:r>
        <w:rPr>
          <w:spacing w:val="-3"/>
          <w:sz w:val="20"/>
        </w:rPr>
        <w:t xml:space="preserve"> </w:t>
      </w:r>
      <w:r>
        <w:rPr>
          <w:sz w:val="20"/>
        </w:rPr>
        <w:t>a</w:t>
      </w:r>
      <w:r>
        <w:rPr>
          <w:spacing w:val="-2"/>
          <w:sz w:val="20"/>
        </w:rPr>
        <w:t xml:space="preserve"> </w:t>
      </w:r>
      <w:r>
        <w:rPr>
          <w:sz w:val="20"/>
        </w:rPr>
        <w:t>consumer</w:t>
      </w:r>
      <w:r>
        <w:rPr>
          <w:spacing w:val="-2"/>
          <w:sz w:val="20"/>
        </w:rPr>
        <w:t xml:space="preserve"> </w:t>
      </w:r>
      <w:r>
        <w:rPr>
          <w:sz w:val="20"/>
        </w:rPr>
        <w:t>decides</w:t>
      </w:r>
      <w:r>
        <w:rPr>
          <w:spacing w:val="-4"/>
          <w:sz w:val="20"/>
        </w:rPr>
        <w:t xml:space="preserve"> </w:t>
      </w:r>
      <w:r>
        <w:rPr>
          <w:sz w:val="20"/>
        </w:rPr>
        <w:t>to inquire about PDP during the</w:t>
      </w:r>
      <w:r>
        <w:rPr>
          <w:spacing w:val="-7"/>
          <w:sz w:val="20"/>
        </w:rPr>
        <w:t xml:space="preserve"> </w:t>
      </w:r>
      <w:r>
        <w:rPr>
          <w:sz w:val="20"/>
        </w:rPr>
        <w:t>appointment]</w:t>
      </w:r>
    </w:p>
    <w:p w:rsidR="00C904D5" w:rsidRPr="005E1152" w:rsidRDefault="00C904D5" w:rsidP="005E1152">
      <w:pPr>
        <w:pStyle w:val="BodyText"/>
        <w:spacing w:line="276" w:lineRule="auto"/>
        <w:rPr>
          <w:sz w:val="16"/>
        </w:rPr>
      </w:pPr>
    </w:p>
    <w:p w:rsidR="00C904D5" w:rsidRDefault="005E1152" w:rsidP="005E1152">
      <w:pPr>
        <w:pStyle w:val="Heading2"/>
        <w:spacing w:line="276" w:lineRule="auto"/>
        <w:rPr>
          <w:u w:val="none"/>
        </w:rPr>
      </w:pPr>
      <w:r>
        <w:t>When should the Scope of Appointment be gathered?</w:t>
      </w:r>
    </w:p>
    <w:p w:rsidR="00C904D5" w:rsidRDefault="005E1152" w:rsidP="005E1152">
      <w:pPr>
        <w:pStyle w:val="BodyText"/>
        <w:spacing w:line="276" w:lineRule="auto"/>
        <w:ind w:left="100" w:right="695"/>
        <w:rPr>
          <w:i/>
        </w:rPr>
      </w:pPr>
      <w:r>
        <w:t xml:space="preserve">The prospect should agree to the “Scope of appointment” at least 48 hours prior to the appointment, </w:t>
      </w:r>
      <w:r>
        <w:rPr>
          <w:i/>
        </w:rPr>
        <w:t>when practical.</w:t>
      </w:r>
    </w:p>
    <w:p w:rsidR="00C904D5" w:rsidRPr="005E1152" w:rsidRDefault="00C904D5" w:rsidP="005E1152">
      <w:pPr>
        <w:pStyle w:val="BodyText"/>
        <w:spacing w:line="276" w:lineRule="auto"/>
        <w:rPr>
          <w:i/>
          <w:sz w:val="16"/>
        </w:rPr>
      </w:pPr>
    </w:p>
    <w:p w:rsidR="00C904D5" w:rsidRDefault="005E1152" w:rsidP="005E1152">
      <w:pPr>
        <w:pStyle w:val="BodyText"/>
        <w:spacing w:line="276" w:lineRule="auto"/>
        <w:ind w:left="100" w:right="176"/>
      </w:pPr>
      <w:r>
        <w:t>If the SOA is taken at the time of the appointment, the reason must be documented specifically as possible on the form. Ex: scope change by customer or agent, walk-in, unexpected guest</w:t>
      </w:r>
    </w:p>
    <w:p w:rsidR="00C904D5" w:rsidRDefault="00C904D5" w:rsidP="005E1152">
      <w:pPr>
        <w:pStyle w:val="BodyText"/>
        <w:spacing w:line="276" w:lineRule="auto"/>
        <w:rPr>
          <w:sz w:val="16"/>
        </w:rPr>
      </w:pPr>
    </w:p>
    <w:p w:rsidR="00C904D5" w:rsidRDefault="005E1152" w:rsidP="005E1152">
      <w:pPr>
        <w:pStyle w:val="Heading2"/>
        <w:spacing w:line="276" w:lineRule="auto"/>
        <w:rPr>
          <w:u w:val="none"/>
        </w:rPr>
      </w:pPr>
      <w:r>
        <w:t>Requirements for a Valid Scope of Appointment</w:t>
      </w:r>
    </w:p>
    <w:p w:rsidR="00C904D5" w:rsidRDefault="005E1152" w:rsidP="005E1152">
      <w:pPr>
        <w:pStyle w:val="BodyText"/>
        <w:spacing w:line="276" w:lineRule="auto"/>
        <w:ind w:left="100"/>
      </w:pPr>
      <w:r>
        <w:t>Only CMS approved SOA fo</w:t>
      </w:r>
      <w:r>
        <w:t xml:space="preserve">rms can be used. Agents </w:t>
      </w:r>
      <w:r>
        <w:rPr>
          <w:u w:val="single"/>
        </w:rPr>
        <w:t>should not</w:t>
      </w:r>
      <w:r>
        <w:t xml:space="preserve"> create and use their own form.</w:t>
      </w:r>
    </w:p>
    <w:p w:rsidR="00C904D5" w:rsidRPr="005E1152" w:rsidRDefault="00C904D5" w:rsidP="005E1152">
      <w:pPr>
        <w:pStyle w:val="BodyText"/>
        <w:spacing w:line="276" w:lineRule="auto"/>
        <w:rPr>
          <w:sz w:val="16"/>
        </w:rPr>
      </w:pPr>
    </w:p>
    <w:p w:rsidR="00C904D5" w:rsidRDefault="005E1152" w:rsidP="005E1152">
      <w:pPr>
        <w:pStyle w:val="BodyText"/>
        <w:spacing w:line="276" w:lineRule="auto"/>
        <w:ind w:left="100" w:right="94"/>
      </w:pPr>
      <w:r>
        <w:t>Prospect must initial the product(s) they agree can be discussed at the appointment, sign, and return the SOA to the agent. The agent must complete all of the fields in the “Agent Only” are</w:t>
      </w:r>
      <w:r>
        <w:t>a of the form.</w:t>
      </w:r>
    </w:p>
    <w:p w:rsidR="00C904D5" w:rsidRPr="005E1152" w:rsidRDefault="00C904D5" w:rsidP="005E1152">
      <w:pPr>
        <w:pStyle w:val="BodyText"/>
        <w:spacing w:line="276" w:lineRule="auto"/>
        <w:rPr>
          <w:sz w:val="16"/>
        </w:rPr>
      </w:pPr>
    </w:p>
    <w:p w:rsidR="00C904D5" w:rsidRDefault="005E1152" w:rsidP="005E1152">
      <w:pPr>
        <w:pStyle w:val="BodyText"/>
        <w:spacing w:line="276" w:lineRule="auto"/>
        <w:ind w:left="100"/>
      </w:pPr>
      <w:r>
        <w:t xml:space="preserve">A SOA is valid until used </w:t>
      </w:r>
      <w:r>
        <w:rPr>
          <w:i/>
        </w:rPr>
        <w:t xml:space="preserve">or </w:t>
      </w:r>
      <w:r>
        <w:t>until the end of the applicable election period. If a second meeting takes place, a new scope is required for a subsequent meeting.</w:t>
      </w:r>
    </w:p>
    <w:p w:rsidR="00C904D5" w:rsidRDefault="00C904D5" w:rsidP="005E1152">
      <w:pPr>
        <w:pStyle w:val="BodyText"/>
        <w:spacing w:line="276" w:lineRule="auto"/>
        <w:rPr>
          <w:sz w:val="16"/>
        </w:rPr>
      </w:pPr>
    </w:p>
    <w:p w:rsidR="00C904D5" w:rsidRDefault="005E1152" w:rsidP="005E1152">
      <w:pPr>
        <w:pStyle w:val="Heading2"/>
        <w:spacing w:line="276" w:lineRule="auto"/>
        <w:rPr>
          <w:u w:val="none"/>
        </w:rPr>
      </w:pPr>
      <w:r>
        <w:t>Submission</w:t>
      </w:r>
    </w:p>
    <w:p w:rsidR="00C904D5" w:rsidRDefault="005E1152" w:rsidP="005E1152">
      <w:pPr>
        <w:pStyle w:val="BodyText"/>
        <w:spacing w:line="276" w:lineRule="auto"/>
        <w:ind w:left="100"/>
      </w:pPr>
      <w:r>
        <w:t>A completed Scope of Appointment should be submitted to the carrier</w:t>
      </w:r>
      <w:r>
        <w:t xml:space="preserve"> with each MAPD or PDP enrollment application. This includes all applications keyed in electronically or submitted through any electronic means.</w:t>
      </w:r>
    </w:p>
    <w:p w:rsidR="00C904D5" w:rsidRPr="005E1152" w:rsidRDefault="00C904D5" w:rsidP="005E1152">
      <w:pPr>
        <w:pStyle w:val="BodyText"/>
        <w:spacing w:line="276" w:lineRule="auto"/>
        <w:rPr>
          <w:sz w:val="16"/>
        </w:rPr>
      </w:pPr>
    </w:p>
    <w:p w:rsidR="00C904D5" w:rsidRDefault="005E1152" w:rsidP="005E1152">
      <w:pPr>
        <w:pStyle w:val="Heading2"/>
        <w:spacing w:line="276" w:lineRule="auto"/>
        <w:rPr>
          <w:u w:val="none"/>
        </w:rPr>
      </w:pPr>
      <w:r>
        <w:t>Record Retention</w:t>
      </w:r>
    </w:p>
    <w:p w:rsidR="00C904D5" w:rsidRDefault="005E1152" w:rsidP="005E1152">
      <w:pPr>
        <w:pStyle w:val="BodyText"/>
        <w:spacing w:line="276" w:lineRule="auto"/>
        <w:ind w:left="100"/>
      </w:pPr>
      <w:r>
        <w:t>CMS requires agents to keep the SOA for the current year plus 10 years.</w:t>
      </w:r>
    </w:p>
    <w:p w:rsidR="00C904D5" w:rsidRPr="005E1152" w:rsidRDefault="00C904D5" w:rsidP="005E1152">
      <w:pPr>
        <w:pStyle w:val="BodyText"/>
        <w:spacing w:line="276" w:lineRule="auto"/>
        <w:rPr>
          <w:sz w:val="16"/>
        </w:rPr>
      </w:pPr>
    </w:p>
    <w:p w:rsidR="00C904D5" w:rsidRDefault="005E1152" w:rsidP="005E1152">
      <w:pPr>
        <w:pStyle w:val="BodyText"/>
        <w:spacing w:line="276" w:lineRule="auto"/>
        <w:ind w:left="100"/>
      </w:pPr>
      <w:r>
        <w:t>Even if an enrollmen</w:t>
      </w:r>
      <w:r>
        <w:t>t never took place, SOAs should be retained and ready to make available upon CMS or other regulatory body request. (Ex: no-shows, cancelled appointments, and those that do not result in a sale).</w:t>
      </w:r>
    </w:p>
    <w:p w:rsidR="00C904D5" w:rsidRDefault="00C904D5" w:rsidP="005E1152">
      <w:pPr>
        <w:pStyle w:val="BodyText"/>
        <w:spacing w:before="39" w:line="278" w:lineRule="auto"/>
        <w:ind w:right="299"/>
      </w:pPr>
      <w:bookmarkStart w:id="0" w:name="_GoBack"/>
      <w:bookmarkEnd w:id="0"/>
    </w:p>
    <w:sectPr w:rsidR="00C904D5">
      <w:pgSz w:w="12240" w:h="15840"/>
      <w:pgMar w:top="14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A6EDB"/>
    <w:multiLevelType w:val="hybridMultilevel"/>
    <w:tmpl w:val="4A446BCE"/>
    <w:lvl w:ilvl="0" w:tplc="23EC9D40">
      <w:numFmt w:val="bullet"/>
      <w:lvlText w:val=""/>
      <w:lvlJc w:val="left"/>
      <w:pPr>
        <w:ind w:left="820" w:hanging="360"/>
      </w:pPr>
      <w:rPr>
        <w:rFonts w:ascii="Wingdings" w:eastAsia="Wingdings" w:hAnsi="Wingdings" w:cs="Wingdings" w:hint="default"/>
        <w:w w:val="100"/>
        <w:sz w:val="22"/>
        <w:szCs w:val="22"/>
        <w:lang w:val="en-US" w:eastAsia="en-US" w:bidi="en-US"/>
      </w:rPr>
    </w:lvl>
    <w:lvl w:ilvl="1" w:tplc="3BAA49C2">
      <w:numFmt w:val="bullet"/>
      <w:lvlText w:val="•"/>
      <w:lvlJc w:val="left"/>
      <w:pPr>
        <w:ind w:left="1692" w:hanging="360"/>
      </w:pPr>
      <w:rPr>
        <w:rFonts w:hint="default"/>
        <w:lang w:val="en-US" w:eastAsia="en-US" w:bidi="en-US"/>
      </w:rPr>
    </w:lvl>
    <w:lvl w:ilvl="2" w:tplc="E5C8B64A">
      <w:numFmt w:val="bullet"/>
      <w:lvlText w:val="•"/>
      <w:lvlJc w:val="left"/>
      <w:pPr>
        <w:ind w:left="2564" w:hanging="360"/>
      </w:pPr>
      <w:rPr>
        <w:rFonts w:hint="default"/>
        <w:lang w:val="en-US" w:eastAsia="en-US" w:bidi="en-US"/>
      </w:rPr>
    </w:lvl>
    <w:lvl w:ilvl="3" w:tplc="EA267A00">
      <w:numFmt w:val="bullet"/>
      <w:lvlText w:val="•"/>
      <w:lvlJc w:val="left"/>
      <w:pPr>
        <w:ind w:left="3436" w:hanging="360"/>
      </w:pPr>
      <w:rPr>
        <w:rFonts w:hint="default"/>
        <w:lang w:val="en-US" w:eastAsia="en-US" w:bidi="en-US"/>
      </w:rPr>
    </w:lvl>
    <w:lvl w:ilvl="4" w:tplc="DC241450">
      <w:numFmt w:val="bullet"/>
      <w:lvlText w:val="•"/>
      <w:lvlJc w:val="left"/>
      <w:pPr>
        <w:ind w:left="4308" w:hanging="360"/>
      </w:pPr>
      <w:rPr>
        <w:rFonts w:hint="default"/>
        <w:lang w:val="en-US" w:eastAsia="en-US" w:bidi="en-US"/>
      </w:rPr>
    </w:lvl>
    <w:lvl w:ilvl="5" w:tplc="9656DED2">
      <w:numFmt w:val="bullet"/>
      <w:lvlText w:val="•"/>
      <w:lvlJc w:val="left"/>
      <w:pPr>
        <w:ind w:left="5180" w:hanging="360"/>
      </w:pPr>
      <w:rPr>
        <w:rFonts w:hint="default"/>
        <w:lang w:val="en-US" w:eastAsia="en-US" w:bidi="en-US"/>
      </w:rPr>
    </w:lvl>
    <w:lvl w:ilvl="6" w:tplc="B6DC906A">
      <w:numFmt w:val="bullet"/>
      <w:lvlText w:val="•"/>
      <w:lvlJc w:val="left"/>
      <w:pPr>
        <w:ind w:left="6052" w:hanging="360"/>
      </w:pPr>
      <w:rPr>
        <w:rFonts w:hint="default"/>
        <w:lang w:val="en-US" w:eastAsia="en-US" w:bidi="en-US"/>
      </w:rPr>
    </w:lvl>
    <w:lvl w:ilvl="7" w:tplc="D272EB5A">
      <w:numFmt w:val="bullet"/>
      <w:lvlText w:val="•"/>
      <w:lvlJc w:val="left"/>
      <w:pPr>
        <w:ind w:left="6924" w:hanging="360"/>
      </w:pPr>
      <w:rPr>
        <w:rFonts w:hint="default"/>
        <w:lang w:val="en-US" w:eastAsia="en-US" w:bidi="en-US"/>
      </w:rPr>
    </w:lvl>
    <w:lvl w:ilvl="8" w:tplc="84BCCABE">
      <w:numFmt w:val="bullet"/>
      <w:lvlText w:val="•"/>
      <w:lvlJc w:val="left"/>
      <w:pPr>
        <w:ind w:left="7796" w:hanging="360"/>
      </w:pPr>
      <w:rPr>
        <w:rFonts w:hint="default"/>
        <w:lang w:val="en-US" w:eastAsia="en-US" w:bidi="en-US"/>
      </w:rPr>
    </w:lvl>
  </w:abstractNum>
  <w:abstractNum w:abstractNumId="1" w15:restartNumberingAfterBreak="0">
    <w:nsid w:val="4CC32A47"/>
    <w:multiLevelType w:val="hybridMultilevel"/>
    <w:tmpl w:val="4B3CACEA"/>
    <w:lvl w:ilvl="0" w:tplc="42AC1D1A">
      <w:numFmt w:val="bullet"/>
      <w:lvlText w:val=""/>
      <w:lvlJc w:val="left"/>
      <w:pPr>
        <w:ind w:left="820" w:hanging="360"/>
      </w:pPr>
      <w:rPr>
        <w:rFonts w:hint="default"/>
        <w:w w:val="99"/>
        <w:lang w:val="en-US" w:eastAsia="en-US" w:bidi="en-US"/>
      </w:rPr>
    </w:lvl>
    <w:lvl w:ilvl="1" w:tplc="BD145D42">
      <w:numFmt w:val="bullet"/>
      <w:lvlText w:val=""/>
      <w:lvlJc w:val="left"/>
      <w:pPr>
        <w:ind w:left="1180" w:hanging="360"/>
      </w:pPr>
      <w:rPr>
        <w:rFonts w:ascii="Symbol" w:eastAsia="Symbol" w:hAnsi="Symbol" w:cs="Symbol" w:hint="default"/>
        <w:w w:val="100"/>
        <w:sz w:val="22"/>
        <w:szCs w:val="22"/>
        <w:lang w:val="en-US" w:eastAsia="en-US" w:bidi="en-US"/>
      </w:rPr>
    </w:lvl>
    <w:lvl w:ilvl="2" w:tplc="0A0E20C2">
      <w:numFmt w:val="bullet"/>
      <w:lvlText w:val="•"/>
      <w:lvlJc w:val="left"/>
      <w:pPr>
        <w:ind w:left="2108" w:hanging="360"/>
      </w:pPr>
      <w:rPr>
        <w:rFonts w:hint="default"/>
        <w:lang w:val="en-US" w:eastAsia="en-US" w:bidi="en-US"/>
      </w:rPr>
    </w:lvl>
    <w:lvl w:ilvl="3" w:tplc="1C847F20">
      <w:numFmt w:val="bullet"/>
      <w:lvlText w:val="•"/>
      <w:lvlJc w:val="left"/>
      <w:pPr>
        <w:ind w:left="3037" w:hanging="360"/>
      </w:pPr>
      <w:rPr>
        <w:rFonts w:hint="default"/>
        <w:lang w:val="en-US" w:eastAsia="en-US" w:bidi="en-US"/>
      </w:rPr>
    </w:lvl>
    <w:lvl w:ilvl="4" w:tplc="7D802DB6">
      <w:numFmt w:val="bullet"/>
      <w:lvlText w:val="•"/>
      <w:lvlJc w:val="left"/>
      <w:pPr>
        <w:ind w:left="3966" w:hanging="360"/>
      </w:pPr>
      <w:rPr>
        <w:rFonts w:hint="default"/>
        <w:lang w:val="en-US" w:eastAsia="en-US" w:bidi="en-US"/>
      </w:rPr>
    </w:lvl>
    <w:lvl w:ilvl="5" w:tplc="02908FCC">
      <w:numFmt w:val="bullet"/>
      <w:lvlText w:val="•"/>
      <w:lvlJc w:val="left"/>
      <w:pPr>
        <w:ind w:left="4895" w:hanging="360"/>
      </w:pPr>
      <w:rPr>
        <w:rFonts w:hint="default"/>
        <w:lang w:val="en-US" w:eastAsia="en-US" w:bidi="en-US"/>
      </w:rPr>
    </w:lvl>
    <w:lvl w:ilvl="6" w:tplc="0C241EDA">
      <w:numFmt w:val="bullet"/>
      <w:lvlText w:val="•"/>
      <w:lvlJc w:val="left"/>
      <w:pPr>
        <w:ind w:left="5824" w:hanging="360"/>
      </w:pPr>
      <w:rPr>
        <w:rFonts w:hint="default"/>
        <w:lang w:val="en-US" w:eastAsia="en-US" w:bidi="en-US"/>
      </w:rPr>
    </w:lvl>
    <w:lvl w:ilvl="7" w:tplc="DEAAD134">
      <w:numFmt w:val="bullet"/>
      <w:lvlText w:val="•"/>
      <w:lvlJc w:val="left"/>
      <w:pPr>
        <w:ind w:left="6753" w:hanging="360"/>
      </w:pPr>
      <w:rPr>
        <w:rFonts w:hint="default"/>
        <w:lang w:val="en-US" w:eastAsia="en-US" w:bidi="en-US"/>
      </w:rPr>
    </w:lvl>
    <w:lvl w:ilvl="8" w:tplc="6B82C234">
      <w:numFmt w:val="bullet"/>
      <w:lvlText w:val="•"/>
      <w:lvlJc w:val="left"/>
      <w:pPr>
        <w:ind w:left="7682"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C904D5"/>
    <w:rsid w:val="005E1152"/>
    <w:rsid w:val="00C90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1CFF86-2EDC-43A5-95AC-8BF323AE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39"/>
      <w:ind w:left="820"/>
      <w:outlineLvl w:val="0"/>
    </w:pPr>
  </w:style>
  <w:style w:type="paragraph" w:styleId="Heading2">
    <w:name w:val="heading 2"/>
    <w:basedOn w:val="Normal"/>
    <w:uiPriority w:val="1"/>
    <w:qFormat/>
    <w:pPr>
      <w:ind w:left="100"/>
      <w:outlineLvl w:val="1"/>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38"/>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8106F-F8A6-43B7-A274-DF8BDF082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emathews</dc:creator>
  <cp:lastModifiedBy>William Howery</cp:lastModifiedBy>
  <cp:revision>2</cp:revision>
  <dcterms:created xsi:type="dcterms:W3CDTF">2019-11-27T15:02:00Z</dcterms:created>
  <dcterms:modified xsi:type="dcterms:W3CDTF">2019-11-27T15:18:00Z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2014-10-17T00:00:00Z</vt:filetime>
  </property>
  <property fmtid="{D5CDD505-2E9C-101B-9397-08002B2CF9AE}" pid="3" name="Creator">
    <vt:lpwstr>Microsoft® Word 2010</vt:lpwstr>
  </property>
  <property fmtid="{D5CDD505-2E9C-101B-9397-08002B2CF9AE}" pid="4" name="LastSaved">
    <vt:filetime>2019-11-27T00:00:00Z</vt:filetime>
  </property>
</Properties>
</file>