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8002B" w14:textId="77777777" w:rsidR="00585F9E" w:rsidRPr="00585F9E" w:rsidRDefault="00585F9E" w:rsidP="00585F9E">
      <w:pPr>
        <w:rPr>
          <w:b/>
          <w:bCs/>
        </w:rPr>
      </w:pPr>
      <w:r w:rsidRPr="00585F9E">
        <w:rPr>
          <w:b/>
          <w:bCs/>
        </w:rPr>
        <w:t>VAHAN RTO Registration Analytics: Data Storytelling Whitepaper Report</w:t>
      </w:r>
    </w:p>
    <w:p w14:paraId="253B37E8" w14:textId="77777777" w:rsidR="00585F9E" w:rsidRPr="00585F9E" w:rsidRDefault="00585F9E" w:rsidP="00585F9E">
      <w:pPr>
        <w:rPr>
          <w:b/>
          <w:bCs/>
        </w:rPr>
      </w:pPr>
      <w:r w:rsidRPr="00585F9E">
        <w:rPr>
          <w:rFonts w:ascii="Segoe UI Emoji" w:hAnsi="Segoe UI Emoji" w:cs="Segoe UI Emoji"/>
          <w:b/>
          <w:bCs/>
        </w:rPr>
        <w:t>🌐</w:t>
      </w:r>
      <w:r w:rsidRPr="00585F9E">
        <w:rPr>
          <w:b/>
          <w:bCs/>
        </w:rPr>
        <w:t xml:space="preserve"> Live Dashboard URL</w:t>
      </w:r>
    </w:p>
    <w:p w14:paraId="6BDC814A" w14:textId="77777777" w:rsidR="00585F9E" w:rsidRPr="00585F9E" w:rsidRDefault="00585F9E" w:rsidP="00585F9E">
      <w:r w:rsidRPr="00585F9E">
        <w:rPr>
          <w:b/>
          <w:bCs/>
        </w:rPr>
        <w:t>Streamlit Application: Run locally with `streamlit run app.py` (see README.md for instructions)</w:t>
      </w:r>
      <w:r w:rsidRPr="00585F9E"/>
      <w:proofErr w:type="gramStart"/>
      <w:r w:rsidRPr="00585F9E"/>
      <w:proofErr w:type="gramEnd"/>
      <w:r w:rsidRPr="00585F9E"/>
    </w:p>
    <w:p w14:paraId="0558F510" w14:textId="77777777" w:rsidR="00585F9E" w:rsidRPr="00585F9E" w:rsidRDefault="00585F9E" w:rsidP="00585F9E">
      <w:r w:rsidRPr="00585F9E">
        <w:rPr>
          <w:i/>
          <w:iCs/>
        </w:rPr>
        <w:t>(Dashboard runs on localhost:8501 after launching)</w:t>
      </w:r>
    </w:p>
    <w:p w14:paraId="40BE1FFC" w14:textId="77777777" w:rsidR="00585F9E" w:rsidRPr="00585F9E" w:rsidRDefault="00585F9E" w:rsidP="00585F9E">
      <w:pPr>
        <w:rPr>
          <w:b/>
          <w:bCs/>
        </w:rPr>
      </w:pPr>
      <w:r w:rsidRPr="00585F9E">
        <w:rPr>
          <w:b/>
          <w:bCs/>
        </w:rPr>
        <w:t>Document Metadata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0"/>
        <w:gridCol w:w="6540"/>
      </w:tblGrid>
      <w:tr w:rsidR="00585F9E" w:rsidRPr="00585F9E" w14:paraId="3C135E7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DD0BA" w14:textId="77777777" w:rsidR="00585F9E" w:rsidRPr="00585F9E" w:rsidRDefault="00585F9E" w:rsidP="00585F9E">
            <w:r w:rsidRPr="00585F9E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D42AA" w14:textId="77777777" w:rsidR="00585F9E" w:rsidRPr="00585F9E" w:rsidRDefault="00585F9E" w:rsidP="00585F9E">
            <w:r w:rsidRPr="00585F9E">
              <w:rPr>
                <w:b/>
                <w:bCs/>
              </w:rPr>
              <w:t>Submission Details</w:t>
            </w:r>
          </w:p>
        </w:tc>
      </w:tr>
      <w:tr w:rsidR="00585F9E" w:rsidRPr="00585F9E" w14:paraId="1E5AC5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B7B28" w14:textId="77777777" w:rsidR="00585F9E" w:rsidRPr="00585F9E" w:rsidRDefault="00585F9E" w:rsidP="00585F9E">
            <w:r w:rsidRPr="00585F9E">
              <w:rPr>
                <w:b/>
                <w:bCs/>
              </w:rPr>
              <w:t>Course 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08068" w14:textId="77777777" w:rsidR="00585F9E" w:rsidRPr="00585F9E" w:rsidRDefault="00585F9E" w:rsidP="00585F9E">
            <w:r w:rsidRPr="00585F9E">
              <w:t>Data Visualization and Story Telling</w:t>
            </w:r>
          </w:p>
        </w:tc>
      </w:tr>
      <w:tr w:rsidR="00585F9E" w:rsidRPr="00585F9E" w14:paraId="227BCE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C81A2" w14:textId="77777777" w:rsidR="00585F9E" w:rsidRPr="00585F9E" w:rsidRDefault="00585F9E" w:rsidP="00585F9E">
            <w:r w:rsidRPr="00585F9E">
              <w:rPr>
                <w:b/>
                <w:bCs/>
              </w:rPr>
              <w:t>Assignment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5F599" w14:textId="77777777" w:rsidR="00585F9E" w:rsidRPr="00585F9E" w:rsidRDefault="00585F9E" w:rsidP="00585F9E">
            <w:r w:rsidRPr="00585F9E">
              <w:t>VAHAN RTO Registration Analytics (20% Weightage)</w:t>
            </w:r>
          </w:p>
        </w:tc>
      </w:tr>
      <w:tr w:rsidR="00585F9E" w:rsidRPr="00585F9E" w14:paraId="171FC7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EBDA9" w14:textId="77777777" w:rsidR="00585F9E" w:rsidRPr="00585F9E" w:rsidRDefault="00585F9E" w:rsidP="00585F9E">
            <w:r w:rsidRPr="00585F9E">
              <w:rPr>
                <w:b/>
                <w:bCs/>
              </w:rPr>
              <w:t>Data Source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EA228" w14:textId="77777777" w:rsidR="00585F9E" w:rsidRPr="00585F9E" w:rsidRDefault="00585F9E" w:rsidP="00585F9E">
            <w:r w:rsidRPr="00585F9E">
              <w:t>Synthesized VAHAN RTO Dataset (2017/2018–2024, 12 States)</w:t>
            </w:r>
          </w:p>
        </w:tc>
      </w:tr>
      <w:tr w:rsidR="00585F9E" w:rsidRPr="00585F9E" w14:paraId="5F5BA4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FAAFA" w14:textId="77777777" w:rsidR="00585F9E" w:rsidRPr="00585F9E" w:rsidRDefault="00585F9E" w:rsidP="00585F9E">
            <w:r w:rsidRPr="00585F9E">
              <w:rPr>
                <w:b/>
                <w:bCs/>
              </w:rPr>
              <w:t>Submitted By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F0625" w14:textId="77777777" w:rsidR="00585F9E" w:rsidRPr="00585F9E" w:rsidRDefault="00585F9E" w:rsidP="00585F9E">
            <w:r w:rsidRPr="00585F9E">
              <w:t>[Your Full Name] ([Roll / Student ID Number])</w:t>
            </w:r>
          </w:p>
        </w:tc>
      </w:tr>
      <w:tr w:rsidR="00585F9E" w:rsidRPr="00585F9E" w14:paraId="6DCE74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8E4E6" w14:textId="77777777" w:rsidR="00585F9E" w:rsidRPr="00585F9E" w:rsidRDefault="00585F9E" w:rsidP="00585F9E">
            <w:r w:rsidRPr="00585F9E">
              <w:rPr>
                <w:b/>
                <w:bCs/>
              </w:rPr>
              <w:t>Faculty / Instructor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22EEA" w14:textId="77777777" w:rsidR="00585F9E" w:rsidRPr="00585F9E" w:rsidRDefault="00585F9E" w:rsidP="00585F9E">
            <w:r w:rsidRPr="00585F9E">
              <w:t>Prof. [Professor's Name]</w:t>
            </w:r>
          </w:p>
        </w:tc>
      </w:tr>
      <w:tr w:rsidR="00585F9E" w:rsidRPr="00585F9E" w14:paraId="1B0B51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9024A" w14:textId="77777777" w:rsidR="00585F9E" w:rsidRPr="00585F9E" w:rsidRDefault="00585F9E" w:rsidP="00585F9E">
            <w:r w:rsidRPr="00585F9E">
              <w:rPr>
                <w:b/>
                <w:bCs/>
              </w:rPr>
              <w:t>Submission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9A852" w14:textId="473A21B9" w:rsidR="00585F9E" w:rsidRPr="00585F9E" w:rsidRDefault="00396C66" w:rsidP="00585F9E">
            <w:r>
              <w:t>7</w:t>
            </w:r>
            <w:r w:rsidRPr="00396C66">
              <w:rPr>
                <w:vertAlign w:val="superscript"/>
              </w:rPr>
              <w:t>th</w:t>
            </w:r>
            <w:r>
              <w:t xml:space="preserve"> </w:t>
            </w:r>
            <w:r w:rsidR="00585F9E" w:rsidRPr="00585F9E">
              <w:t>August, 2026</w:t>
            </w:r>
          </w:p>
        </w:tc>
      </w:tr>
    </w:tbl>
    <w:p w14:paraId="1C2FF0C7" w14:textId="77777777" w:rsidR="00585F9E" w:rsidRPr="00585F9E" w:rsidRDefault="00585F9E" w:rsidP="00585F9E">
      <w:pPr>
        <w:rPr>
          <w:b/>
          <w:bCs/>
        </w:rPr>
      </w:pPr>
      <w:r w:rsidRPr="00585F9E">
        <w:rPr>
          <w:b/>
          <w:bCs/>
        </w:rPr>
        <w:t>1. Executive Summary &amp; Deliverables Package</w:t>
      </w:r>
    </w:p>
    <w:p w14:paraId="7634D277" w14:textId="77777777" w:rsidR="00585F9E" w:rsidRPr="00585F9E" w:rsidRDefault="00585F9E" w:rsidP="00585F9E">
      <w:r w:rsidRPr="00585F9E">
        <w:t>This whitepaper details the design rationale, data pipeline engineering, and storytelling framework applied to build an analytical dashboard evaluating vehicle registration compliance and fuel transition across 12 Indian states (2017/2018–2024).</w:t>
      </w:r>
    </w:p>
    <w:p w14:paraId="637B06B4" w14:textId="77777777" w:rsidR="00585F9E" w:rsidRPr="00585F9E" w:rsidRDefault="00585F9E" w:rsidP="00585F9E">
      <w:pPr>
        <w:rPr>
          <w:b/>
          <w:bCs/>
        </w:rPr>
      </w:pPr>
      <w:r w:rsidRPr="00585F9E">
        <w:rPr>
          <w:b/>
          <w:bCs/>
        </w:rPr>
        <w:t>Submission Repository Structure</w:t>
      </w:r>
    </w:p>
    <w:p w14:paraId="01BD21C1" w14:textId="77777777" w:rsidR="00585F9E" w:rsidRPr="00585F9E" w:rsidRDefault="00585F9E" w:rsidP="00585F9E">
      <w:pPr>
        <w:numPr>
          <w:ilvl w:val="0"/>
          <w:numId w:val="1"/>
        </w:numPr>
      </w:pPr>
      <w:r w:rsidRPr="00585F9E">
        <w:t>01_data_</w:t>
      </w:r>
      <w:proofErr w:type="gramStart"/>
      <w:r w:rsidRPr="00585F9E">
        <w:t>preprocessing.ipynb</w:t>
      </w:r>
      <w:proofErr w:type="gramEnd"/>
      <w:r w:rsidRPr="00585F9E">
        <w:t>: Python notebook covering data cleaning, state-to-RTO validation, and derived metric engineering.</w:t>
      </w:r>
    </w:p>
    <w:p w14:paraId="4FC48DFA" w14:textId="77777777" w:rsidR="00585F9E" w:rsidRPr="00585F9E" w:rsidRDefault="00585F9E" w:rsidP="00585F9E">
      <w:pPr>
        <w:numPr>
          <w:ilvl w:val="0"/>
          <w:numId w:val="1"/>
        </w:numPr>
      </w:pPr>
      <w:r w:rsidRPr="00585F9E">
        <w:t>data/raw/India_VAHAN_Dataset.csv: Unfiltered synthesized VAHAN registration dataset.</w:t>
      </w:r>
    </w:p>
    <w:p w14:paraId="428797C0" w14:textId="77777777" w:rsidR="00585F9E" w:rsidRPr="00585F9E" w:rsidRDefault="00585F9E" w:rsidP="00585F9E">
      <w:pPr>
        <w:numPr>
          <w:ilvl w:val="0"/>
          <w:numId w:val="1"/>
        </w:numPr>
      </w:pPr>
      <w:r w:rsidRPr="00585F9E">
        <w:t>data/processed/VAHAN_Dataset_Fully_Corrected_Issues.csv: Curated, cleansed, and indexed dataset powering the dashboard.</w:t>
      </w:r>
    </w:p>
    <w:p w14:paraId="66D568C1" w14:textId="77777777" w:rsidR="00585F9E" w:rsidRPr="00585F9E" w:rsidRDefault="00585F9E" w:rsidP="00585F9E">
      <w:pPr>
        <w:numPr>
          <w:ilvl w:val="0"/>
          <w:numId w:val="1"/>
        </w:numPr>
      </w:pPr>
      <w:r w:rsidRPr="00585F9E">
        <w:lastRenderedPageBreak/>
        <w:t>app.py: Complete Streamlit dashboard application built with Altair declarative visual specifications.</w:t>
      </w:r>
    </w:p>
    <w:p w14:paraId="2420A34F" w14:textId="77777777" w:rsidR="00585F9E" w:rsidRPr="00585F9E" w:rsidRDefault="00585F9E" w:rsidP="00585F9E">
      <w:pPr>
        <w:numPr>
          <w:ilvl w:val="0"/>
          <w:numId w:val="1"/>
        </w:numPr>
      </w:pPr>
      <w:r w:rsidRPr="00585F9E">
        <w:t>VAHAN_RTO_Registration_Analytics_Report.docx: This whitepaper documenting visual design principles, Gestalt adherence, and policy insights.</w:t>
      </w:r>
    </w:p>
    <w:p w14:paraId="1325D675" w14:textId="77777777" w:rsidR="00585F9E" w:rsidRPr="00585F9E" w:rsidRDefault="00585F9E" w:rsidP="00585F9E">
      <w:pPr>
        <w:rPr>
          <w:b/>
          <w:bCs/>
        </w:rPr>
      </w:pPr>
      <w:r w:rsidRPr="00585F9E">
        <w:rPr>
          <w:b/>
          <w:bCs/>
        </w:rPr>
        <w:t>2. Data Preprocessing &amp; Metric Engineering (Task 1 — 5 Marks)</w:t>
      </w:r>
    </w:p>
    <w:p w14:paraId="2DA1084B" w14:textId="77777777" w:rsidR="00585F9E" w:rsidRPr="00585F9E" w:rsidRDefault="00585F9E" w:rsidP="00585F9E">
      <w:pPr>
        <w:rPr>
          <w:b/>
          <w:bCs/>
        </w:rPr>
      </w:pPr>
      <w:r w:rsidRPr="00585F9E">
        <w:rPr>
          <w:b/>
          <w:bCs/>
        </w:rPr>
        <w:t>2.1 Data Cleaning &amp; Integrity Audits</w:t>
      </w:r>
    </w:p>
    <w:p w14:paraId="15C7EB28" w14:textId="77777777" w:rsidR="00585F9E" w:rsidRPr="00585F9E" w:rsidRDefault="00585F9E" w:rsidP="00585F9E">
      <w:r w:rsidRPr="00585F9E">
        <w:t>The initial dataset of vehicle registrations was audited for anomalies, structural defects, and compliance inconsistencies:</w:t>
      </w:r>
    </w:p>
    <w:p w14:paraId="31952311" w14:textId="77777777" w:rsidR="00585F9E" w:rsidRPr="00585F9E" w:rsidRDefault="00585F9E" w:rsidP="00585F9E">
      <w:pPr>
        <w:numPr>
          <w:ilvl w:val="0"/>
          <w:numId w:val="2"/>
        </w:numPr>
      </w:pPr>
      <w:r w:rsidRPr="00585F9E">
        <w:rPr>
          <w:b/>
          <w:bCs/>
        </w:rPr>
        <w:t>Geography Validation:</w:t>
      </w:r>
      <w:r w:rsidRPr="00585F9E">
        <w:t xml:space="preserve"> Resolved records with state-to-RTO office mismatches (flagged and isolated provisional data).</w:t>
      </w:r>
    </w:p>
    <w:p w14:paraId="416F0C3B" w14:textId="77777777" w:rsidR="00585F9E" w:rsidRPr="00585F9E" w:rsidRDefault="00585F9E" w:rsidP="00585F9E">
      <w:pPr>
        <w:numPr>
          <w:ilvl w:val="0"/>
          <w:numId w:val="2"/>
        </w:numPr>
      </w:pPr>
      <w:r w:rsidRPr="00585F9E">
        <w:rPr>
          <w:b/>
          <w:bCs/>
        </w:rPr>
        <w:t>Powertrain Consistency:</w:t>
      </w:r>
      <w:r w:rsidRPr="00585F9E">
        <w:t xml:space="preserve"> Validated electric-only manufacturers misclassified under internal combustion (petrol/diesel) powertrains.</w:t>
      </w:r>
    </w:p>
    <w:p w14:paraId="5C351118" w14:textId="77777777" w:rsidR="00585F9E" w:rsidRPr="00585F9E" w:rsidRDefault="00585F9E" w:rsidP="00585F9E">
      <w:pPr>
        <w:numPr>
          <w:ilvl w:val="0"/>
          <w:numId w:val="2"/>
        </w:numPr>
      </w:pPr>
      <w:r w:rsidRPr="00585F9E">
        <w:rPr>
          <w:b/>
          <w:bCs/>
        </w:rPr>
        <w:t>Missing &amp; Outlier Handling:</w:t>
      </w:r>
      <w:r w:rsidRPr="00585F9E">
        <w:t xml:space="preserve"> Imputed or isolated records missing displacement or age metadata.</w:t>
      </w:r>
    </w:p>
    <w:p w14:paraId="7ADDA181" w14:textId="77777777" w:rsidR="00585F9E" w:rsidRPr="00585F9E" w:rsidRDefault="00585F9E" w:rsidP="00585F9E">
      <w:pPr>
        <w:rPr>
          <w:b/>
          <w:bCs/>
        </w:rPr>
      </w:pPr>
      <w:r w:rsidRPr="00585F9E">
        <w:rPr>
          <w:b/>
          <w:bCs/>
        </w:rPr>
        <w:t>2.2 Key Derived Metrics</w:t>
      </w:r>
    </w:p>
    <w:p w14:paraId="2389BF43" w14:textId="77777777" w:rsidR="00585F9E" w:rsidRPr="00585F9E" w:rsidRDefault="00585F9E" w:rsidP="00585F9E">
      <w:r w:rsidRPr="00585F9E">
        <w:t>To answer the core question—</w:t>
      </w:r>
      <w:r w:rsidRPr="00585F9E">
        <w:rPr>
          <w:i/>
          <w:iCs/>
        </w:rPr>
        <w:t>"Is the fleet actually getting cleaner, and where is it not?"</w:t>
      </w:r>
      <w:r w:rsidRPr="00585F9E">
        <w:t>—two compound indices were engineered:</w:t>
      </w:r>
    </w:p>
    <w:p w14:paraId="767B284E" w14:textId="2BE2D694" w:rsidR="00585F9E" w:rsidRPr="00585F9E" w:rsidRDefault="00585F9E" w:rsidP="00585F9E">
      <m:oMathPara>
        <m:oMath>
          <m:r>
            <m:rPr>
              <m:nor/>
            </m:rPr>
            <m:t>CFAR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Electric Registrations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nor/>
                    </m:rPr>
                    <m:t>CNG Registrations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nor/>
                    </m:rPr>
                    <m:t>Hybrid Registrations</m:t>
                  </m:r>
                </m:num>
                <m:den>
                  <m:r>
                    <m:rPr>
                      <m:nor/>
                    </m:rPr>
                    <m:t>Total Registrations</m:t>
                  </m:r>
                </m:den>
              </m:f>
            </m:e>
          </m:d>
          <m:r>
            <w:rPr>
              <w:rFonts w:ascii="Cambria Math" w:hAnsi="Cambria Math"/>
            </w:rPr>
            <m:t>×100</m:t>
          </m:r>
        </m:oMath>
      </m:oMathPara>
    </w:p>
    <w:p w14:paraId="6DC636AA" w14:textId="1E259979" w:rsidR="00585F9E" w:rsidRPr="00585F9E" w:rsidRDefault="00585F9E" w:rsidP="00585F9E">
      <m:oMathPara>
        <m:oMath>
          <m:r>
            <m:rPr>
              <m:nor/>
            </m:rPr>
            <m:t>FMI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Registrations meeting BS6/Zero-Emission AND Age</m:t>
                  </m:r>
                  <m:r>
                    <w:rPr>
                      <w:rFonts w:ascii="Cambria Math" w:hAnsi="Cambria Math"/>
                    </w:rPr>
                    <m:t>≤5</m:t>
                  </m:r>
                  <m:r>
                    <m:rPr>
                      <m:nor/>
                    </m:rPr>
                    <m:t> Years</m:t>
                  </m:r>
                </m:num>
                <m:den>
                  <m:r>
                    <m:rPr>
                      <m:nor/>
                    </m:rPr>
                    <m:t>Total Registrations</m:t>
                  </m:r>
                </m:den>
              </m:f>
            </m:e>
          </m:d>
          <m:r>
            <w:rPr>
              <w:rFonts w:ascii="Cambria Math" w:hAnsi="Cambria Math"/>
            </w:rPr>
            <m:t>×100</m:t>
          </m:r>
        </m:oMath>
      </m:oMathPara>
    </w:p>
    <w:p w14:paraId="682BFB2F" w14:textId="77777777" w:rsidR="00585F9E" w:rsidRPr="00585F9E" w:rsidRDefault="00585F9E" w:rsidP="00585F9E">
      <w:pPr>
        <w:numPr>
          <w:ilvl w:val="0"/>
          <w:numId w:val="3"/>
        </w:numPr>
      </w:pPr>
      <w:r w:rsidRPr="00585F9E">
        <w:rPr>
          <w:b/>
          <w:bCs/>
        </w:rPr>
        <w:t>CFAR (Clean-Fuel Adoption Rate):</w:t>
      </w:r>
      <w:r w:rsidRPr="00585F9E">
        <w:t xml:space="preserve"> Isolates the market penetration of sustainable powertrains.</w:t>
      </w:r>
    </w:p>
    <w:p w14:paraId="7A503BC6" w14:textId="77777777" w:rsidR="00585F9E" w:rsidRPr="00585F9E" w:rsidRDefault="00585F9E" w:rsidP="00585F9E">
      <w:pPr>
        <w:numPr>
          <w:ilvl w:val="0"/>
          <w:numId w:val="3"/>
        </w:numPr>
      </w:pPr>
      <w:r w:rsidRPr="00585F9E">
        <w:rPr>
          <w:b/>
          <w:bCs/>
        </w:rPr>
        <w:t>FMI (Fuel Mix Index): Herfindahl-Hirschman Diversity score (1 − Σ share²) measuring powertrain fuel-type diversification. Range: 0.0 (single fuel monopoly) to ~0.75+ (highly balanced mix). Current selection FMI = 0.709.</w:t>
      </w:r>
      <w:r w:rsidRPr="00585F9E"/>
    </w:p>
    <w:p w14:paraId="731204E0" w14:textId="77777777" w:rsidR="00585F9E" w:rsidRPr="00585F9E" w:rsidRDefault="00585F9E" w:rsidP="00585F9E">
      <w:pPr>
        <w:rPr>
          <w:b/>
          <w:bCs/>
        </w:rPr>
      </w:pPr>
      <w:r w:rsidRPr="00585F9E">
        <w:rPr>
          <w:b/>
          <w:bCs/>
        </w:rPr>
        <w:t>3. Visualization Development &amp; Insights (Task 2 — 10 Marks)</w:t>
      </w:r>
    </w:p>
    <w:p w14:paraId="1551FF96" w14:textId="77777777" w:rsidR="00585F9E" w:rsidRPr="00585F9E" w:rsidRDefault="00585F9E" w:rsidP="00585F9E">
      <w:r w:rsidRPr="00585F9E">
        <w:t xml:space="preserve">Following Knaflic’s </w:t>
      </w:r>
      <w:r w:rsidRPr="00585F9E">
        <w:rPr>
          <w:i/>
          <w:iCs/>
        </w:rPr>
        <w:t>Storytelling with Data</w:t>
      </w:r>
      <w:r w:rsidRPr="00585F9E">
        <w:t xml:space="preserve"> guidelines and Sringeswara et al. principles, standard encodings were chosen over complex novel formats to minimize cognitive load.</w:t>
      </w:r>
    </w:p>
    <w:p w14:paraId="05C6DADD" w14:textId="77777777" w:rsidR="00585F9E" w:rsidRPr="00585F9E" w:rsidRDefault="00585F9E" w:rsidP="00585F9E">
      <w:pPr>
        <w:rPr>
          <w:b/>
          <w:bCs/>
        </w:rPr>
      </w:pPr>
      <w:r w:rsidRPr="00585F9E">
        <w:rPr>
          <w:b/>
          <w:bCs/>
        </w:rPr>
        <w:t>3.1 Registrations by Fuel Type (Macro Fuel Transition)</w:t>
      </w:r>
    </w:p>
    <w:p w14:paraId="38C6FAB2" w14:textId="77777777" w:rsidR="00585F9E" w:rsidRPr="00585F9E" w:rsidRDefault="00585F9E" w:rsidP="00585F9E">
      <w:pPr>
        <w:numPr>
          <w:ilvl w:val="0"/>
          <w:numId w:val="4"/>
        </w:numPr>
      </w:pPr>
      <w:r w:rsidRPr="00585F9E">
        <w:rPr>
          <w:b/>
          <w:bCs/>
        </w:rPr>
        <w:t>Encoding Choice:</w:t>
      </w:r>
      <w:r w:rsidRPr="00585F9E">
        <w:t xml:space="preserve"> 100% Stacked Area Chart and Basis-Point Waterfall.</w:t>
      </w:r>
    </w:p>
    <w:p w14:paraId="448C5129" w14:textId="77777777" w:rsidR="00585F9E" w:rsidRPr="00585F9E" w:rsidRDefault="00585F9E" w:rsidP="00585F9E">
      <w:pPr>
        <w:numPr>
          <w:ilvl w:val="0"/>
          <w:numId w:val="4"/>
        </w:numPr>
      </w:pPr>
      <w:r w:rsidRPr="00585F9E">
        <w:rPr>
          <w:b/>
          <w:bCs/>
        </w:rPr>
        <w:t>Analytical Finding:</w:t>
      </w:r>
      <w:r w:rsidRPr="00585F9E">
        <w:t xml:space="preserve"> Between 2018 and 2024, Electric adoption increased by +388 basis points, while Hybrid (-258 bps) and Petrol (-212 bps) declined. The </w:t>
      </w:r>
      <w:r w:rsidRPr="00585F9E">
        <w:lastRenderedPageBreak/>
        <w:t>visualization highlights that clean-fuel growth partially cannibalizes existing clean alternatives rather than purely replacing fossil fuels.</w:t>
      </w:r>
    </w:p>
    <w:p w14:paraId="56126B35" w14:textId="77777777" w:rsidR="00585F9E" w:rsidRPr="00585F9E" w:rsidRDefault="00585F9E" w:rsidP="00585F9E">
      <w:pPr>
        <w:rPr>
          <w:b/>
          <w:bCs/>
        </w:rPr>
      </w:pPr>
      <w:r w:rsidRPr="00585F9E">
        <w:rPr>
          <w:b/>
          <w:bCs/>
        </w:rPr>
        <w:t>3.2 Registrations by Emission Norm &amp; Age Exposure</w:t>
      </w:r>
    </w:p>
    <w:p w14:paraId="1BA7BDE0" w14:textId="77777777" w:rsidR="00585F9E" w:rsidRPr="00585F9E" w:rsidRDefault="00585F9E" w:rsidP="00585F9E">
      <w:pPr>
        <w:numPr>
          <w:ilvl w:val="0"/>
          <w:numId w:val="5"/>
        </w:numPr>
      </w:pPr>
      <w:r w:rsidRPr="00585F9E">
        <w:rPr>
          <w:b/>
          <w:bCs/>
        </w:rPr>
        <w:t>Encoding Choice:</w:t>
      </w:r>
      <w:r w:rsidRPr="00585F9E">
        <w:t xml:space="preserve"> Age-vs-Emission Standard Heatmap paired with an exportable risk table.</w:t>
      </w:r>
    </w:p>
    <w:p w14:paraId="0D2C0A41" w14:textId="77777777" w:rsidR="00585F9E" w:rsidRPr="00585F9E" w:rsidRDefault="00585F9E" w:rsidP="00585F9E">
      <w:pPr>
        <w:numPr>
          <w:ilvl w:val="0"/>
          <w:numId w:val="5"/>
        </w:numPr>
      </w:pPr>
      <w:r w:rsidRPr="00585F9E">
        <w:rPr>
          <w:b/>
          <w:bCs/>
        </w:rPr>
        <w:t>Analytical Finding:</w:t>
      </w:r>
      <w:r w:rsidRPr="00585F9E">
        <w:t xml:space="preserve"> Full compliance with BS6 standards was achieved nationally by 2024. However, 540 total compliance failures were categorized into standard-only failures (334), compound failures (169), and age-only failures (37 zero-emission vehicles exceeding the 5-year limit).</w:t>
      </w:r>
    </w:p>
    <w:p w14:paraId="6D9204DA" w14:textId="77777777" w:rsidR="00585F9E" w:rsidRPr="00585F9E" w:rsidRDefault="00585F9E" w:rsidP="00585F9E">
      <w:pPr>
        <w:rPr>
          <w:b/>
          <w:bCs/>
        </w:rPr>
      </w:pPr>
      <w:r w:rsidRPr="00585F9E">
        <w:rPr>
          <w:b/>
          <w:bCs/>
        </w:rPr>
        <w:t>3.3 Registrations by Vehicle Category &amp; OEM Strategy</w:t>
      </w:r>
    </w:p>
    <w:p w14:paraId="15D1039A" w14:textId="77777777" w:rsidR="00585F9E" w:rsidRPr="00585F9E" w:rsidRDefault="00585F9E" w:rsidP="00585F9E">
      <w:pPr>
        <w:numPr>
          <w:ilvl w:val="0"/>
          <w:numId w:val="6"/>
        </w:numPr>
      </w:pPr>
      <w:r w:rsidRPr="00585F9E">
        <w:rPr>
          <w:b/>
          <w:bCs/>
        </w:rPr>
        <w:t>Encoding Choice: Quadrant Bubble Scatter Plot (CFAR vs. FMI diversity, sized by volume) with volume-weighted quadrant centres.</w:t>
      </w:r>
      <w:r w:rsidRPr="00585F9E"/>
    </w:p>
    <w:p w14:paraId="0E83EDB6" w14:textId="77777777" w:rsidR="00585F9E" w:rsidRPr="00585F9E" w:rsidRDefault="00585F9E" w:rsidP="00585F9E">
      <w:pPr>
        <w:numPr>
          <w:ilvl w:val="0"/>
          <w:numId w:val="6"/>
        </w:numPr>
      </w:pPr>
      <w:r w:rsidRPr="00585F9E">
        <w:rPr>
          <w:b/>
          <w:bCs/>
        </w:rPr>
        <w:t>Quadrant Classification:</w:t>
      </w:r>
      <w:r w:rsidRPr="00585F9E">
        <w:t xml:space="preserve"> Categorizes manufacturers into </w:t>
      </w:r>
      <w:r w:rsidRPr="00585F9E">
        <w:rPr>
          <w:i/>
          <w:iCs/>
        </w:rPr>
        <w:t>Green Pioneers</w:t>
      </w:r>
      <w:r w:rsidRPr="00585F9E">
        <w:t xml:space="preserve">, </w:t>
      </w:r>
      <w:r w:rsidRPr="00585F9E">
        <w:rPr>
          <w:i/>
          <w:iCs/>
        </w:rPr>
        <w:t>Compliance Leaders</w:t>
      </w:r>
      <w:r w:rsidRPr="00585F9E">
        <w:t xml:space="preserve">, </w:t>
      </w:r>
      <w:r w:rsidRPr="00585F9E">
        <w:rPr>
          <w:i/>
          <w:iCs/>
        </w:rPr>
        <w:t>Clean-Fuel Specialists</w:t>
      </w:r>
      <w:r w:rsidRPr="00585F9E">
        <w:t xml:space="preserve">, and </w:t>
      </w:r>
      <w:r w:rsidRPr="00585F9E">
        <w:rPr>
          <w:i/>
          <w:iCs/>
        </w:rPr>
        <w:t>Fossil Dependent</w:t>
      </w:r>
      <w:r w:rsidRPr="00585F9E">
        <w:t>.</w:t>
      </w:r>
    </w:p>
    <w:p w14:paraId="76430C85" w14:textId="77777777" w:rsidR="00585F9E" w:rsidRPr="00585F9E" w:rsidRDefault="00585F9E" w:rsidP="00585F9E">
      <w:pPr>
        <w:rPr>
          <w:b/>
          <w:bCs/>
        </w:rPr>
      </w:pPr>
      <w:r w:rsidRPr="00585F9E">
        <w:rPr>
          <w:b/>
          <w:bCs/>
        </w:rPr>
        <w:t>3.4 Registrations by Year &amp; State Trajectory</w:t>
      </w:r>
    </w:p>
    <w:p w14:paraId="05444D5F" w14:textId="77777777" w:rsidR="00585F9E" w:rsidRPr="00585F9E" w:rsidRDefault="00585F9E" w:rsidP="00585F9E">
      <w:pPr>
        <w:numPr>
          <w:ilvl w:val="0"/>
          <w:numId w:val="7"/>
        </w:numPr>
      </w:pPr>
      <w:r w:rsidRPr="00585F9E">
        <w:rPr>
          <w:b/>
          <w:bCs/>
        </w:rPr>
        <w:t>Encoding Choice:</w:t>
      </w:r>
      <w:r w:rsidRPr="00585F9E">
        <w:t xml:space="preserve"> Continuous Line Charts and Paired Horizontal Rank Bars.</w:t>
      </w:r>
    </w:p>
    <w:p w14:paraId="2858DD27" w14:textId="3143A297" w:rsidR="00585F9E" w:rsidRPr="00585F9E" w:rsidRDefault="00585F9E" w:rsidP="00585F9E">
      <w:pPr>
        <w:numPr>
          <w:ilvl w:val="0"/>
          <w:numId w:val="7"/>
        </w:numPr>
      </w:pPr>
      <w:r w:rsidRPr="00585F9E">
        <w:rPr>
          <w:b/>
          <w:bCs/>
        </w:rPr>
        <w:t>Analytical Finding:</w:t>
      </w:r>
      <w:r w:rsidRPr="00585F9E">
        <w:t xml:space="preserve"> CFAR and FMI show virtually no statistical correlation (</w:t>
      </w:r>
      <m:oMath>
        <m:r>
          <w:rPr>
            <w:rFonts w:ascii="Cambria Math" w:hAnsi="Cambria Math"/>
          </w:rPr>
          <m:t>r=0.07</m:t>
        </m:r>
      </m:oMath>
      <w:r w:rsidRPr="00585F9E">
        <w:t>). States successfully modernized emission standards under national mandate, while clean-fuel adoption remained geographically fragmented (ranging between 25% and 49%).</w:t>
      </w:r>
    </w:p>
    <w:p w14:paraId="7428D803" w14:textId="77777777" w:rsidR="00585F9E" w:rsidRPr="00585F9E" w:rsidRDefault="00585F9E" w:rsidP="00585F9E">
      <w:pPr>
        <w:rPr>
          <w:b/>
          <w:bCs/>
        </w:rPr>
      </w:pPr>
      <w:r w:rsidRPr="00585F9E">
        <w:rPr>
          <w:b/>
          <w:bCs/>
        </w:rPr>
        <w:t>4. Dashboard Design &amp; Gestalt Framework (Task 3 — 5 Marks)</w:t>
      </w:r>
    </w:p>
    <w:p w14:paraId="5DF3E9CB" w14:textId="77777777" w:rsidR="00585F9E" w:rsidRPr="00585F9E" w:rsidRDefault="00585F9E" w:rsidP="00585F9E">
      <w:r w:rsidRPr="00585F9E">
        <w:t>+-----------------------------------------------------------------------------------+</w:t>
      </w:r>
    </w:p>
    <w:p w14:paraId="715CF094" w14:textId="77777777" w:rsidR="00585F9E" w:rsidRPr="00585F9E" w:rsidRDefault="00585F9E" w:rsidP="00585F9E">
      <w:proofErr w:type="gramStart"/>
      <w:r w:rsidRPr="00585F9E">
        <w:t>|  HEADER CALLOUTS: Total Registrations | YoY Delta | CFAR (36.4%) | FMI (0.709)    |</w:t>
      </w:r>
      <w:proofErr w:type="gramEnd"/>
      <w:r w:rsidRPr="00585F9E"/>
      <w:proofErr w:type="gramStart"/>
      <w:r w:rsidRPr="00585F9E"/>
      <w:proofErr w:type="gramEnd"/>
      <w:r w:rsidRPr="00585F9E"/>
    </w:p>
    <w:p w14:paraId="158643D2" w14:textId="77777777" w:rsidR="00585F9E" w:rsidRPr="00585F9E" w:rsidRDefault="00585F9E" w:rsidP="00585F9E">
      <w:r w:rsidRPr="00585F9E">
        <w:t>+-----------------------------------------------------------------------------------+</w:t>
      </w:r>
    </w:p>
    <w:p w14:paraId="5AE4920D" w14:textId="77777777" w:rsidR="00585F9E" w:rsidRPr="00585F9E" w:rsidRDefault="00585F9E" w:rsidP="00585F9E">
      <w:proofErr w:type="gramStart"/>
      <w:r w:rsidRPr="00585F9E">
        <w:t>|  TAB</w:t>
      </w:r>
      <w:proofErr w:type="gramEnd"/>
      <w:r w:rsidRPr="00585F9E">
        <w:t xml:space="preserve"> 1: Macro Fuel Mix    </w:t>
      </w:r>
      <w:proofErr w:type="gramStart"/>
      <w:r w:rsidRPr="00585F9E">
        <w:t>|  TAB</w:t>
      </w:r>
      <w:proofErr w:type="gramEnd"/>
      <w:r w:rsidRPr="00585F9E">
        <w:t xml:space="preserve"> 2: OEM Strategy       </w:t>
      </w:r>
      <w:proofErr w:type="gramStart"/>
      <w:r w:rsidRPr="00585F9E">
        <w:t>|  TAB</w:t>
      </w:r>
      <w:proofErr w:type="gramEnd"/>
      <w:r w:rsidRPr="00585F9E">
        <w:t xml:space="preserve"> 3: Compliance Audit |</w:t>
      </w:r>
    </w:p>
    <w:p w14:paraId="0DC3D07F" w14:textId="77777777" w:rsidR="00585F9E" w:rsidRPr="00585F9E" w:rsidRDefault="00585F9E" w:rsidP="00585F9E">
      <w:r w:rsidRPr="00585F9E">
        <w:t>+---------------------------+----------------------------+--------------------------+</w:t>
      </w:r>
    </w:p>
    <w:p w14:paraId="2C224E76" w14:textId="77777777" w:rsidR="00585F9E" w:rsidRPr="00585F9E" w:rsidRDefault="00585F9E" w:rsidP="00585F9E">
      <w:proofErr w:type="gramStart"/>
      <w:r w:rsidRPr="00585F9E">
        <w:t>|  [</w:t>
      </w:r>
      <w:proofErr w:type="gramEnd"/>
      <w:r w:rsidRPr="00585F9E">
        <w:t xml:space="preserve">Global Filters: Year Range | State Selection | Vehicle Class | OEM </w:t>
      </w:r>
      <w:proofErr w:type="gramStart"/>
      <w:r w:rsidRPr="00585F9E">
        <w:t xml:space="preserve">Category]   </w:t>
      </w:r>
      <w:proofErr w:type="gramEnd"/>
      <w:r w:rsidRPr="00585F9E">
        <w:t xml:space="preserve"> |</w:t>
      </w:r>
    </w:p>
    <w:p w14:paraId="3B28D2CB" w14:textId="77777777" w:rsidR="00585F9E" w:rsidRPr="00585F9E" w:rsidRDefault="00585F9E" w:rsidP="00585F9E">
      <w:r w:rsidRPr="00585F9E">
        <w:t>|                                                                                   |</w:t>
      </w:r>
    </w:p>
    <w:p w14:paraId="282B8BFE" w14:textId="77777777" w:rsidR="00585F9E" w:rsidRPr="00585F9E" w:rsidRDefault="00585F9E" w:rsidP="00585F9E">
      <w:r w:rsidRPr="00585F9E">
        <w:t>|  +-------------------------------------+  +------------------------------------+  |</w:t>
      </w:r>
    </w:p>
    <w:p w14:paraId="29A64560" w14:textId="77777777" w:rsidR="00585F9E" w:rsidRPr="00585F9E" w:rsidRDefault="00585F9E" w:rsidP="00585F9E">
      <w:proofErr w:type="gramStart"/>
      <w:r w:rsidRPr="00585F9E">
        <w:t>|  |</w:t>
      </w:r>
      <w:proofErr w:type="gramEnd"/>
      <w:r w:rsidRPr="00585F9E">
        <w:t xml:space="preserve"> Visual 1: 100% Stacked Area (Fuel) </w:t>
      </w:r>
      <w:proofErr w:type="gramStart"/>
      <w:r w:rsidRPr="00585F9E">
        <w:t>|  |</w:t>
      </w:r>
      <w:proofErr w:type="gramEnd"/>
      <w:r w:rsidRPr="00585F9E">
        <w:t xml:space="preserve"> Visual 2: Basis-Point Waterfall    </w:t>
      </w:r>
      <w:proofErr w:type="gramStart"/>
      <w:r w:rsidRPr="00585F9E">
        <w:t>|  |</w:t>
      </w:r>
      <w:proofErr w:type="gramEnd"/>
    </w:p>
    <w:p w14:paraId="6AC02CE5" w14:textId="77777777" w:rsidR="00585F9E" w:rsidRPr="00585F9E" w:rsidRDefault="00585F9E" w:rsidP="00585F9E">
      <w:r w:rsidRPr="00585F9E">
        <w:t>|  +-------------------------------------+  +------------------------------------+  |</w:t>
      </w:r>
    </w:p>
    <w:p w14:paraId="69872FCB" w14:textId="77777777" w:rsidR="00585F9E" w:rsidRPr="00585F9E" w:rsidRDefault="00585F9E" w:rsidP="00585F9E">
      <w:proofErr w:type="gramStart"/>
      <w:r w:rsidRPr="00585F9E">
        <w:lastRenderedPageBreak/>
        <w:t>|  |</w:t>
      </w:r>
      <w:proofErr w:type="gramEnd"/>
      <w:r w:rsidRPr="00585F9E">
        <w:t xml:space="preserve"> Enclosed Caption: What to notice   </w:t>
      </w:r>
      <w:proofErr w:type="gramStart"/>
      <w:r w:rsidRPr="00585F9E">
        <w:t>|  |</w:t>
      </w:r>
      <w:proofErr w:type="gramEnd"/>
      <w:r w:rsidRPr="00585F9E">
        <w:t xml:space="preserve"> Enclosed Caption: What to notice   </w:t>
      </w:r>
      <w:proofErr w:type="gramStart"/>
      <w:r w:rsidRPr="00585F9E">
        <w:t>|  |</w:t>
      </w:r>
      <w:proofErr w:type="gramEnd"/>
    </w:p>
    <w:p w14:paraId="02418073" w14:textId="77777777" w:rsidR="00585F9E" w:rsidRPr="00585F9E" w:rsidRDefault="00585F9E" w:rsidP="00585F9E">
      <w:r w:rsidRPr="00585F9E">
        <w:t>|  +-------------------------------------+  +------------------------------------+  |</w:t>
      </w:r>
    </w:p>
    <w:p w14:paraId="25E97F5D" w14:textId="77777777" w:rsidR="00585F9E" w:rsidRPr="00585F9E" w:rsidRDefault="00585F9E" w:rsidP="00585F9E">
      <w:r w:rsidRPr="00585F9E">
        <w:t>+-----------------------------------------------------------------------------------+</w:t>
      </w:r>
    </w:p>
    <w:p w14:paraId="09C7E67C" w14:textId="77777777" w:rsidR="00585F9E" w:rsidRPr="00585F9E" w:rsidRDefault="00585F9E" w:rsidP="00585F9E">
      <w:pPr>
        <w:rPr>
          <w:b/>
          <w:bCs/>
        </w:rPr>
      </w:pPr>
      <w:r w:rsidRPr="00585F9E">
        <w:rPr>
          <w:b/>
          <w:bCs/>
        </w:rPr>
        <w:t>4.1 Application of Gestalt Principles</w:t>
      </w:r>
    </w:p>
    <w:p w14:paraId="54E1E967" w14:textId="77777777" w:rsidR="00585F9E" w:rsidRPr="00585F9E" w:rsidRDefault="00585F9E" w:rsidP="00585F9E">
      <w:pPr>
        <w:numPr>
          <w:ilvl w:val="0"/>
          <w:numId w:val="8"/>
        </w:numPr>
      </w:pPr>
      <w:r w:rsidRPr="00585F9E">
        <w:rPr>
          <w:b/>
          <w:bCs/>
        </w:rPr>
        <w:t>Proximity:</w:t>
      </w:r>
      <w:r w:rsidRPr="00585F9E">
        <w:t xml:space="preserve"> Visualizations, controls, and associated summary statistics are grouped into clear visual containers to establish functional relationships.</w:t>
      </w:r>
    </w:p>
    <w:p w14:paraId="79C403C2" w14:textId="77777777" w:rsidR="00585F9E" w:rsidRPr="00585F9E" w:rsidRDefault="00585F9E" w:rsidP="00585F9E">
      <w:pPr>
        <w:numPr>
          <w:ilvl w:val="0"/>
          <w:numId w:val="8"/>
        </w:numPr>
      </w:pPr>
      <w:r w:rsidRPr="00585F9E">
        <w:rPr>
          <w:b/>
          <w:bCs/>
        </w:rPr>
        <w:t>Similarity:</w:t>
      </w:r>
      <w:r w:rsidRPr="00585F9E">
        <w:t xml:space="preserve"> A unified global color map governs every chart across all three dashboard tabs.</w:t>
      </w:r>
    </w:p>
    <w:p w14:paraId="6FD12687" w14:textId="77777777" w:rsidR="00585F9E" w:rsidRPr="00585F9E" w:rsidRDefault="00585F9E" w:rsidP="00585F9E">
      <w:pPr>
        <w:numPr>
          <w:ilvl w:val="0"/>
          <w:numId w:val="8"/>
        </w:numPr>
      </w:pPr>
      <w:r w:rsidRPr="00585F9E">
        <w:rPr>
          <w:b/>
          <w:bCs/>
        </w:rPr>
        <w:t>Enclosure:</w:t>
      </w:r>
      <w:r w:rsidRPr="00585F9E">
        <w:t xml:space="preserve"> Soft grey background containers explicitly enclose each chart alongside its analytical caption.</w:t>
      </w:r>
    </w:p>
    <w:p w14:paraId="45C00F64" w14:textId="77777777" w:rsidR="00585F9E" w:rsidRPr="00585F9E" w:rsidRDefault="00585F9E" w:rsidP="00585F9E">
      <w:pPr>
        <w:numPr>
          <w:ilvl w:val="0"/>
          <w:numId w:val="8"/>
        </w:numPr>
      </w:pPr>
      <w:r w:rsidRPr="00585F9E">
        <w:rPr>
          <w:b/>
          <w:bCs/>
        </w:rPr>
        <w:t>Closure:</w:t>
      </w:r>
      <w:r w:rsidRPr="00585F9E">
        <w:t xml:space="preserve"> Gridlines, heavy borders, and drop shadows were removed; implied white-space boundaries define structure without clutter.</w:t>
      </w:r>
    </w:p>
    <w:p w14:paraId="741B3D07" w14:textId="77777777" w:rsidR="00585F9E" w:rsidRPr="00585F9E" w:rsidRDefault="00585F9E" w:rsidP="00585F9E">
      <w:pPr>
        <w:numPr>
          <w:ilvl w:val="0"/>
          <w:numId w:val="8"/>
        </w:numPr>
      </w:pPr>
      <w:r w:rsidRPr="00585F9E">
        <w:rPr>
          <w:b/>
          <w:bCs/>
        </w:rPr>
        <w:t>Continuity:</w:t>
      </w:r>
      <w:r w:rsidRPr="00585F9E">
        <w:t xml:space="preserve"> All labels are positioned horizontally. Long category names trigger horizontal bar conversions rather than text rotation (rotations slow readability by 52% to 205%).</w:t>
      </w:r>
    </w:p>
    <w:p w14:paraId="54011D3E" w14:textId="77777777" w:rsidR="00585F9E" w:rsidRPr="00585F9E" w:rsidRDefault="00585F9E" w:rsidP="00585F9E">
      <w:pPr>
        <w:numPr>
          <w:ilvl w:val="0"/>
          <w:numId w:val="8"/>
        </w:numPr>
      </w:pPr>
      <w:r w:rsidRPr="00585F9E">
        <w:rPr>
          <w:b/>
          <w:bCs/>
        </w:rPr>
        <w:t>Connection:</w:t>
      </w:r>
      <w:r w:rsidRPr="00585F9E">
        <w:t xml:space="preserve"> Sequential time-series trends use continuous lines rather than isolated scatter points.</w:t>
      </w:r>
    </w:p>
    <w:p w14:paraId="49CBBC59" w14:textId="77777777" w:rsidR="00585F9E" w:rsidRPr="00585F9E" w:rsidRDefault="00585F9E" w:rsidP="00585F9E">
      <w:pPr>
        <w:rPr>
          <w:b/>
          <w:bCs/>
        </w:rPr>
      </w:pPr>
      <w:r w:rsidRPr="00585F9E">
        <w:rPr>
          <w:b/>
          <w:bCs/>
        </w:rPr>
        <w:t>4.2 Color System ("Color as a Contract")</w:t>
      </w:r>
    </w:p>
    <w:p w14:paraId="28058098" w14:textId="77777777" w:rsidR="00585F9E" w:rsidRPr="00585F9E" w:rsidRDefault="00585F9E" w:rsidP="00585F9E">
      <w:r w:rsidRPr="00585F9E">
        <w:t>The dashboard uses a deliberate greyscale baseline paired with single-purpose accent colors: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4"/>
        <w:gridCol w:w="2050"/>
        <w:gridCol w:w="3976"/>
      </w:tblGrid>
      <w:tr w:rsidR="00585F9E" w:rsidRPr="00585F9E" w14:paraId="445605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30E06" w14:textId="77777777" w:rsidR="00585F9E" w:rsidRPr="00585F9E" w:rsidRDefault="00585F9E" w:rsidP="00585F9E">
            <w:r w:rsidRPr="00585F9E">
              <w:rPr>
                <w:b/>
                <w:bCs/>
              </w:rPr>
              <w:t>Palette Element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DEEF8" w14:textId="77777777" w:rsidR="00585F9E" w:rsidRPr="00585F9E" w:rsidRDefault="00585F9E" w:rsidP="00585F9E">
            <w:r w:rsidRPr="00585F9E">
              <w:rPr>
                <w:b/>
                <w:bCs/>
              </w:rPr>
              <w:t>Hex Code / Range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5846D" w14:textId="77777777" w:rsidR="00585F9E" w:rsidRPr="00585F9E" w:rsidRDefault="00585F9E" w:rsidP="00585F9E">
            <w:r w:rsidRPr="00585F9E">
              <w:rPr>
                <w:b/>
                <w:bCs/>
              </w:rPr>
              <w:t>Applied Context</w:t>
            </w:r>
          </w:p>
        </w:tc>
      </w:tr>
      <w:tr w:rsidR="00585F9E" w:rsidRPr="00585F9E" w14:paraId="56F7F2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9A538" w14:textId="77777777" w:rsidR="00585F9E" w:rsidRPr="00585F9E" w:rsidRDefault="00585F9E" w:rsidP="00585F9E">
            <w:r w:rsidRPr="00585F9E">
              <w:rPr>
                <w:b/>
                <w:bCs/>
              </w:rPr>
              <w:t>Background / Container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431A7" w14:textId="77777777" w:rsidR="00585F9E" w:rsidRPr="00585F9E" w:rsidRDefault="00585F9E" w:rsidP="00585F9E">
            <w:r w:rsidRPr="00585F9E">
              <w:t>#F8F9FA / #E9ECEF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1CB7A" w14:textId="77777777" w:rsidR="00585F9E" w:rsidRPr="00585F9E" w:rsidRDefault="00585F9E" w:rsidP="00585F9E">
            <w:r w:rsidRPr="00585F9E">
              <w:t>Structural grouping and enclosure</w:t>
            </w:r>
          </w:p>
        </w:tc>
      </w:tr>
      <w:tr w:rsidR="00585F9E" w:rsidRPr="00585F9E" w14:paraId="552A7B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51616" w14:textId="77777777" w:rsidR="00585F9E" w:rsidRPr="00585F9E" w:rsidRDefault="00585F9E" w:rsidP="00585F9E">
            <w:r w:rsidRPr="00585F9E">
              <w:rPr>
                <w:b/>
                <w:bCs/>
              </w:rPr>
              <w:t>Primary 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CEA23" w14:textId="77777777" w:rsidR="00585F9E" w:rsidRPr="00585F9E" w:rsidRDefault="00585F9E" w:rsidP="00585F9E">
            <w:r w:rsidRPr="00585F9E">
              <w:t>#495057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F17A3" w14:textId="77777777" w:rsidR="00585F9E" w:rsidRPr="00585F9E" w:rsidRDefault="00585F9E" w:rsidP="00585F9E">
            <w:r w:rsidRPr="00585F9E">
              <w:t>Contextual bars, background categories, diesel</w:t>
            </w:r>
          </w:p>
        </w:tc>
      </w:tr>
      <w:tr w:rsidR="00585F9E" w:rsidRPr="00585F9E" w14:paraId="79358F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C56C7" w14:textId="77777777" w:rsidR="00585F9E" w:rsidRPr="00585F9E" w:rsidRDefault="00585F9E" w:rsidP="00585F9E">
            <w:r w:rsidRPr="00585F9E">
              <w:rPr>
                <w:b/>
                <w:bCs/>
              </w:rPr>
              <w:t>Story Accent (Primary)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9F6A4" w14:textId="77777777" w:rsidR="00585F9E" w:rsidRPr="00585F9E" w:rsidRDefault="00585F9E" w:rsidP="00585F9E">
            <w:r w:rsidRPr="00585F9E">
              <w:t>#1D70B8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7F66D" w14:textId="77777777" w:rsidR="00585F9E" w:rsidRPr="00585F9E" w:rsidRDefault="00585F9E" w:rsidP="00585F9E">
            <w:r w:rsidRPr="00585F9E">
              <w:t>Electric powertrain, primary focus series</w:t>
            </w:r>
          </w:p>
        </w:tc>
      </w:tr>
      <w:tr w:rsidR="00585F9E" w:rsidRPr="00585F9E" w14:paraId="334AB6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A9000" w14:textId="77777777" w:rsidR="00585F9E" w:rsidRPr="00585F9E" w:rsidRDefault="00585F9E" w:rsidP="00585F9E">
            <w:r w:rsidRPr="00585F9E">
              <w:rPr>
                <w:b/>
                <w:bCs/>
              </w:rPr>
              <w:lastRenderedPageBreak/>
              <w:t>Exception Accent (Secondary)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30AF7" w14:textId="77777777" w:rsidR="00585F9E" w:rsidRPr="00585F9E" w:rsidRDefault="00585F9E" w:rsidP="00585F9E">
            <w:r w:rsidRPr="00585F9E">
              <w:t>#D9381E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8A410" w14:textId="77777777" w:rsidR="00585F9E" w:rsidRPr="00585F9E" w:rsidRDefault="00585F9E" w:rsidP="00585F9E">
            <w:r w:rsidRPr="00585F9E">
              <w:t>Non-compliance, losses, metric exceptions</w:t>
            </w:r>
          </w:p>
        </w:tc>
      </w:tr>
    </w:tbl>
    <w:p w14:paraId="5456B100" w14:textId="77777777" w:rsidR="00585F9E" w:rsidRPr="00585F9E" w:rsidRDefault="00585F9E" w:rsidP="00585F9E">
      <w:pPr>
        <w:rPr>
          <w:b/>
          <w:bCs/>
        </w:rPr>
      </w:pPr>
      <w:r w:rsidRPr="00585F9E">
        <w:rPr>
          <w:b/>
          <w:bCs/>
        </w:rPr>
        <w:t>5. Visual Auditing &amp; Intellectual Honesty</w:t>
      </w:r>
    </w:p>
    <w:p w14:paraId="1CD12FFC" w14:textId="77777777" w:rsidR="00585F9E" w:rsidRPr="00585F9E" w:rsidRDefault="00585F9E" w:rsidP="00585F9E">
      <w:pPr>
        <w:rPr>
          <w:b/>
          <w:bCs/>
        </w:rPr>
      </w:pPr>
      <w:r w:rsidRPr="00585F9E">
        <w:rPr>
          <w:b/>
          <w:bCs/>
        </w:rPr>
        <w:t>5.1 Programmatic Chart Specification Audit</w:t>
      </w:r>
    </w:p>
    <w:p w14:paraId="202A8800" w14:textId="77777777" w:rsidR="00585F9E" w:rsidRPr="00585F9E" w:rsidRDefault="00585F9E" w:rsidP="00585F9E">
      <w:r w:rsidRPr="00585F9E">
        <w:t>All 33 Altair chart specifications were programmatically audited against core visualization rules:</w:t>
      </w:r>
    </w:p>
    <w:p w14:paraId="1AB03D59" w14:textId="77777777" w:rsidR="00585F9E" w:rsidRPr="00585F9E" w:rsidRDefault="00585F9E" w:rsidP="00585F9E">
      <w:pPr>
        <w:numPr>
          <w:ilvl w:val="0"/>
          <w:numId w:val="9"/>
        </w:numPr>
      </w:pPr>
      <w:r w:rsidRPr="00585F9E">
        <w:rPr>
          <w:b/>
          <w:bCs/>
        </w:rPr>
        <w:t>Zero Pie / Donut Charts:</w:t>
      </w:r>
      <w:r w:rsidRPr="00585F9E">
        <w:t xml:space="preserve"> Arc marks are prohibited; relative proportions use horizontal common-baseline bars.</w:t>
      </w:r>
    </w:p>
    <w:p w14:paraId="762E2E89" w14:textId="77777777" w:rsidR="00585F9E" w:rsidRPr="00585F9E" w:rsidRDefault="00585F9E" w:rsidP="00585F9E">
      <w:pPr>
        <w:numPr>
          <w:ilvl w:val="0"/>
          <w:numId w:val="9"/>
        </w:numPr>
      </w:pPr>
      <w:r w:rsidRPr="00585F9E">
        <w:rPr>
          <w:b/>
          <w:bCs/>
        </w:rPr>
        <w:t>Zero Truncated Baselines:</w:t>
      </w:r>
      <w:r w:rsidRPr="00585F9E">
        <w:t xml:space="preserve"> Bar charts enforce a true zero baseline to prevent misleading relative magnitude perceptions.</w:t>
      </w:r>
    </w:p>
    <w:p w14:paraId="64BC283E" w14:textId="77777777" w:rsidR="00585F9E" w:rsidRPr="00585F9E" w:rsidRDefault="00585F9E" w:rsidP="00585F9E">
      <w:pPr>
        <w:numPr>
          <w:ilvl w:val="0"/>
          <w:numId w:val="9"/>
        </w:numPr>
      </w:pPr>
      <w:r w:rsidRPr="00585F9E">
        <w:rPr>
          <w:b/>
          <w:bCs/>
        </w:rPr>
        <w:t>Zero 3D Encodings &amp; Secondary Axes:</w:t>
      </w:r>
      <w:r w:rsidRPr="00585F9E">
        <w:t xml:space="preserve"> Excluded to eliminate scale ambiguity and perspective distortion.</w:t>
      </w:r>
    </w:p>
    <w:p w14:paraId="2160B0B6" w14:textId="77777777" w:rsidR="00585F9E" w:rsidRPr="00585F9E" w:rsidRDefault="00585F9E" w:rsidP="00585F9E">
      <w:pPr>
        <w:rPr>
          <w:b/>
          <w:bCs/>
        </w:rPr>
      </w:pPr>
      <w:r w:rsidRPr="00585F9E">
        <w:rPr>
          <w:b/>
          <w:bCs/>
        </w:rPr>
        <w:t>5.2 Principles of Intellectual Honesty</w:t>
      </w:r>
    </w:p>
    <w:p w14:paraId="1567F5F6" w14:textId="77777777" w:rsidR="00585F9E" w:rsidRPr="00585F9E" w:rsidRDefault="00585F9E" w:rsidP="00585F9E">
      <w:pPr>
        <w:numPr>
          <w:ilvl w:val="0"/>
          <w:numId w:val="10"/>
        </w:numPr>
      </w:pPr>
      <w:r w:rsidRPr="00585F9E">
        <w:rPr>
          <w:b/>
          <w:bCs/>
        </w:rPr>
        <w:t>Dynamic Derived Titles:</w:t>
      </w:r>
      <w:r w:rsidRPr="00585F9E">
        <w:t xml:space="preserve"> Chart titles dynamically update based on applied filters (e.g., preventing hardcoded claims like </w:t>
      </w:r>
      <w:r w:rsidRPr="00585F9E">
        <w:rPr>
          <w:i/>
          <w:iCs/>
        </w:rPr>
        <w:t>"Clean fuel is rising"</w:t>
      </w:r>
      <w:r w:rsidRPr="00585F9E">
        <w:t xml:space="preserve"> when viewing states where adoption dropped).</w:t>
      </w:r>
    </w:p>
    <w:p w14:paraId="5053888D" w14:textId="77777777" w:rsidR="00585F9E" w:rsidRPr="00585F9E" w:rsidRDefault="00585F9E" w:rsidP="00585F9E">
      <w:pPr>
        <w:numPr>
          <w:ilvl w:val="0"/>
          <w:numId w:val="10"/>
        </w:numPr>
      </w:pPr>
      <w:r w:rsidRPr="00585F9E">
        <w:rPr>
          <w:b/>
          <w:bCs/>
        </w:rPr>
        <w:t>Precise Unit Definitions:</w:t>
      </w:r>
      <w:r w:rsidRPr="00585F9E">
        <w:t xml:space="preserve"> Share shifts are explicitly stated in percentage points (</w:t>
      </w:r>
      <m:oMath>
        <m:r>
          <m:rPr>
            <m:nor/>
          </m:rPr>
          <m:t>pp</m:t>
        </m:r>
      </m:oMath>
      <w:r w:rsidRPr="00585F9E">
        <w:t>), avoiding inflated percentage change metrics.</w:t>
      </w:r>
    </w:p>
    <w:p w14:paraId="2FAA6D2E" w14:textId="272A6A23" w:rsidR="00585F9E" w:rsidRPr="00585F9E" w:rsidRDefault="00585F9E" w:rsidP="00585F9E">
      <w:pPr>
        <w:numPr>
          <w:ilvl w:val="0"/>
          <w:numId w:val="10"/>
        </w:numPr>
      </w:pPr>
      <w:r w:rsidRPr="00585F9E">
        <w:rPr>
          <w:b/>
          <w:bCs/>
        </w:rPr>
        <w:t>Guarded Statistical Displays:</w:t>
      </w:r>
      <w:r w:rsidRPr="00585F9E">
        <w:t xml:space="preserve"> Correlation statistics are hidden when filtered subsets contain fewer than 4 data points to prevent false statistical artifacts (</w:t>
      </w:r>
      <m:oMath>
        <m:r>
          <w:rPr>
            <w:rFonts w:ascii="Cambria Math" w:hAnsi="Cambria Math"/>
          </w:rPr>
          <m:t>r=±1.00</m:t>
        </m:r>
      </m:oMath>
      <w:r w:rsidRPr="00585F9E">
        <w:t>).</w:t>
      </w:r>
    </w:p>
    <w:p w14:paraId="382B3D07" w14:textId="77777777" w:rsidR="00585F9E" w:rsidRPr="00585F9E" w:rsidRDefault="00585F9E" w:rsidP="00585F9E">
      <w:pPr>
        <w:rPr>
          <w:b/>
          <w:bCs/>
        </w:rPr>
      </w:pPr>
      <w:r w:rsidRPr="00585F9E">
        <w:rPr>
          <w:b/>
          <w:bCs/>
        </w:rPr>
        <w:t>6. References &amp; Framework Acknowledgments</w:t>
      </w:r>
    </w:p>
    <w:p w14:paraId="6DD0FBAC" w14:textId="77777777" w:rsidR="00585F9E" w:rsidRPr="00585F9E" w:rsidRDefault="00585F9E" w:rsidP="00585F9E">
      <w:pPr>
        <w:numPr>
          <w:ilvl w:val="0"/>
          <w:numId w:val="11"/>
        </w:numPr>
      </w:pPr>
      <w:r w:rsidRPr="00585F9E">
        <w:t xml:space="preserve">Knaflic, C. N. (2015). </w:t>
      </w:r>
      <w:r w:rsidRPr="00585F9E">
        <w:rPr>
          <w:i/>
          <w:iCs/>
        </w:rPr>
        <w:t>Storytelling with Data: A Data Visualization Guide for Business Professionals</w:t>
      </w:r>
      <w:r w:rsidRPr="00585F9E">
        <w:t>. Wiley.</w:t>
      </w:r>
    </w:p>
    <w:p w14:paraId="576EA468" w14:textId="077785D7" w:rsidR="00585F9E" w:rsidRDefault="00F40570" w:rsidP="00F40570">
      <w:pPr>
        <w:numPr>
          <w:ilvl w:val="0"/>
          <w:numId w:val="11"/>
        </w:numPr>
      </w:pPr>
      <w:r w:rsidRPr="00F40570">
        <w:t>Towards Decarbonising Transport 2023</w:t>
      </w:r>
      <w:r>
        <w:t>:</w:t>
      </w:r>
      <w:r w:rsidRPr="00F40570">
        <w:t xml:space="preserve"> A Stocktake on Sectoral Ambition in the G2</w:t>
      </w:r>
      <w:r w:rsidR="000006EB">
        <w:t>0</w:t>
      </w:r>
      <w:r>
        <w:t xml:space="preserve"> (NITI Aayog’s report</w:t>
      </w:r>
      <w:r w:rsidR="000006EB">
        <w:t xml:space="preserve"> on “</w:t>
      </w:r>
      <w:r w:rsidR="000006EB" w:rsidRPr="000006EB">
        <w:t>current state of decarbonisation and climate ambition in the transport sectors of G20 countries</w:t>
      </w:r>
      <w:r w:rsidR="000006EB">
        <w:t>”</w:t>
      </w:r>
      <w:r>
        <w:t>)</w:t>
      </w:r>
    </w:p>
    <w:p w14:paraId="337D3E74" w14:textId="0DECBD66" w:rsidR="00F40570" w:rsidRDefault="00F40570" w:rsidP="00F40570">
      <w:pPr>
        <w:numPr>
          <w:ilvl w:val="0"/>
          <w:numId w:val="11"/>
        </w:numPr>
      </w:pPr>
      <w:r>
        <w:t xml:space="preserve">Provided Dataset </w:t>
      </w:r>
    </w:p>
    <w:sectPr w:rsidR="00F40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03110"/>
    <w:multiLevelType w:val="multilevel"/>
    <w:tmpl w:val="CE5C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07F03"/>
    <w:multiLevelType w:val="multilevel"/>
    <w:tmpl w:val="BD9A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51495"/>
    <w:multiLevelType w:val="multilevel"/>
    <w:tmpl w:val="78E8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A7208"/>
    <w:multiLevelType w:val="multilevel"/>
    <w:tmpl w:val="D63E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D6DFF"/>
    <w:multiLevelType w:val="multilevel"/>
    <w:tmpl w:val="5EBA6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EB5A27"/>
    <w:multiLevelType w:val="multilevel"/>
    <w:tmpl w:val="B3C2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640FE"/>
    <w:multiLevelType w:val="multilevel"/>
    <w:tmpl w:val="318C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57635"/>
    <w:multiLevelType w:val="multilevel"/>
    <w:tmpl w:val="416E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009AB"/>
    <w:multiLevelType w:val="multilevel"/>
    <w:tmpl w:val="438C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8C7834"/>
    <w:multiLevelType w:val="multilevel"/>
    <w:tmpl w:val="674E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2C7AF2"/>
    <w:multiLevelType w:val="multilevel"/>
    <w:tmpl w:val="C194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020391">
    <w:abstractNumId w:val="8"/>
  </w:num>
  <w:num w:numId="2" w16cid:durableId="1694066867">
    <w:abstractNumId w:val="5"/>
  </w:num>
  <w:num w:numId="3" w16cid:durableId="1669551430">
    <w:abstractNumId w:val="9"/>
  </w:num>
  <w:num w:numId="4" w16cid:durableId="1697651863">
    <w:abstractNumId w:val="1"/>
  </w:num>
  <w:num w:numId="5" w16cid:durableId="1463696548">
    <w:abstractNumId w:val="10"/>
  </w:num>
  <w:num w:numId="6" w16cid:durableId="669797892">
    <w:abstractNumId w:val="2"/>
  </w:num>
  <w:num w:numId="7" w16cid:durableId="1906254251">
    <w:abstractNumId w:val="7"/>
  </w:num>
  <w:num w:numId="8" w16cid:durableId="1803695200">
    <w:abstractNumId w:val="0"/>
  </w:num>
  <w:num w:numId="9" w16cid:durableId="1521312939">
    <w:abstractNumId w:val="3"/>
  </w:num>
  <w:num w:numId="10" w16cid:durableId="347221137">
    <w:abstractNumId w:val="4"/>
  </w:num>
  <w:num w:numId="11" w16cid:durableId="13460586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F9E"/>
    <w:rsid w:val="000006EB"/>
    <w:rsid w:val="00396C66"/>
    <w:rsid w:val="00585F9E"/>
    <w:rsid w:val="00A918FF"/>
    <w:rsid w:val="00AB2497"/>
    <w:rsid w:val="00E13817"/>
    <w:rsid w:val="00F40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55A05"/>
  <w15:chartTrackingRefBased/>
  <w15:docId w15:val="{11E95F86-9B05-4911-A650-F0607785A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F9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F9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F9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85F9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85F9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85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1227</Words>
  <Characters>6995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Anaadi Dubey</dc:creator>
  <cp:keywords/>
  <dc:description/>
  <cp:lastModifiedBy>Anaadi Dubey</cp:lastModifiedBy>
  <cp:revision>4</cp:revision>
  <dcterms:created xsi:type="dcterms:W3CDTF">2026-08-03T13:24:00Z</dcterms:created>
  <dcterms:modified xsi:type="dcterms:W3CDTF">2026-08-03T15:25:00Z</dcterms:modified>
</cp:coreProperties>
</file>