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r>
        <w:t>MobiTrash</w:t>
      </w:r>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7C700D">
        <w:t>June</w:t>
      </w:r>
      <w:r w:rsidR="002B27F5">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r>
        <w:t>Mobitrash Recycle Ventures Private Limited</w:t>
      </w:r>
      <w:r w:rsidR="00F757BE">
        <w:t xml:space="preserve">, a company incorporated under the Companies Act 1956 and having its registered office at 184-87, S.V. Road, Jogeshwari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5729E7" w:rsidRDefault="007C700D" w:rsidP="005729E7">
      <w:pPr>
        <w:spacing w:line="360" w:lineRule="auto"/>
      </w:pPr>
      <w:r>
        <w:t>Omega Residency</w:t>
      </w:r>
      <w:r w:rsidR="00E2797F">
        <w:t xml:space="preserve">, </w:t>
      </w:r>
      <w:r>
        <w:t>S. No. 109/3,</w:t>
      </w:r>
      <w:r w:rsidR="004718F9" w:rsidRPr="004718F9">
        <w:t xml:space="preserve"> La Ratan Lane,</w:t>
      </w:r>
      <w:r>
        <w:t xml:space="preserve"> Opposite KFC Baner,</w:t>
      </w:r>
      <w:r w:rsidRPr="007C700D">
        <w:t xml:space="preserve"> </w:t>
      </w:r>
      <w:r>
        <w:t>Baner Road, Baner,</w:t>
      </w:r>
      <w:r w:rsidR="00CF343D">
        <w:t xml:space="preserve"> Pune </w:t>
      </w:r>
      <w:r w:rsidRPr="007C700D">
        <w:t>411007</w:t>
      </w:r>
      <w:r w:rsidR="005729E7">
        <w:t xml:space="preserve">, hereinafter referred to as </w:t>
      </w:r>
      <w:r w:rsidR="005729E7">
        <w:rPr>
          <w:b/>
        </w:rPr>
        <w:t xml:space="preserve">Client </w:t>
      </w:r>
      <w:r w:rsidR="005729E7">
        <w:t>(which term shall, unless repugnant to the context or meaning thereof, be deemed to mean and include its successors and assigns) on The Other Part</w:t>
      </w:r>
    </w:p>
    <w:p w:rsidR="007E0EEF" w:rsidRDefault="007E0EEF" w:rsidP="00AB50A4">
      <w:pPr>
        <w:spacing w:line="360" w:lineRule="auto"/>
      </w:pP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r w:rsidR="000011F3">
        <w:t>MobiTrash</w:t>
      </w:r>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MobiTrash </w:t>
      </w:r>
      <w:r w:rsidR="004D0B9A">
        <w:tab/>
        <w:t xml:space="preserve">and </w:t>
      </w:r>
      <w:r>
        <w:t xml:space="preserve">is desirous of availing the </w:t>
      </w:r>
      <w:r w:rsidR="000011F3">
        <w:t>MobiTrash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r w:rsidR="000011F3">
        <w:t>MobiTrash</w:t>
      </w:r>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r w:rsidR="000011F3">
        <w:t>MobiTrash</w:t>
      </w:r>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r w:rsidR="000011F3">
        <w:t>MobiTrash</w:t>
      </w:r>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733699" w:rsidP="00AB50A4">
      <w:pPr>
        <w:pStyle w:val="ListParagraph"/>
        <w:numPr>
          <w:ilvl w:val="0"/>
          <w:numId w:val="5"/>
        </w:numPr>
        <w:spacing w:line="360" w:lineRule="auto"/>
      </w:pPr>
      <w:r>
        <w:t>Cooked vegetarian and non-</w:t>
      </w:r>
      <w:r w:rsidR="00954C2E">
        <w:t>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MobiTrash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MobiTrash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r w:rsidR="000011F3">
        <w:t>MobiTrash</w:t>
      </w:r>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r w:rsidR="000011F3">
        <w:t>MobiTrash</w:t>
      </w:r>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r w:rsidR="000011F3">
        <w:t>MobiTrash</w:t>
      </w:r>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FE1C31">
        <w:t>Company agrees to deliver the agreed quantity of compost (as mentioned in Annexure A) to the Client on a weekly basis</w:t>
      </w:r>
      <w:r w:rsidR="00894B80">
        <w:t xml:space="preserve"> or whenever required, at no cost to the Client</w:t>
      </w:r>
      <w:r w:rsidR="00FE1C31">
        <w:t xml:space="preserve">.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MobiTrash service </w:t>
      </w:r>
      <w:r w:rsidR="00D84896">
        <w:t xml:space="preserve">for all days of the month in the designated time slot as mentioned in Annexure A. In the event that </w:t>
      </w:r>
      <w:r>
        <w:t>Company</w:t>
      </w:r>
      <w:r w:rsidR="00D84896">
        <w:t xml:space="preserve"> is not able to send the MobiTrash van to the Client’s site on a particular day, </w:t>
      </w:r>
      <w:r>
        <w:t>Company</w:t>
      </w:r>
      <w:r w:rsidR="00D84896">
        <w:t xml:space="preserve"> shall arrange an alternate van to cart the segregated organic waste from the Client’s s</w:t>
      </w:r>
      <w:r w:rsidR="00AB50A4">
        <w:t xml:space="preserve">ite to a central location. The </w:t>
      </w:r>
      <w:r w:rsidR="00D84896">
        <w:lastRenderedPageBreak/>
        <w:t xml:space="preserve">MobiTrash van shall arrive at the Client’s site each day only within the designated Collection </w:t>
      </w:r>
      <w:r w:rsidR="00AB50A4">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MobiTrash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5729E7">
        <w:t xml:space="preserve"> an advance of Rupees</w:t>
      </w:r>
      <w:r w:rsidR="00265B50">
        <w:t xml:space="preserve"> </w:t>
      </w:r>
      <w:r w:rsidR="009265C8">
        <w:t>Thirteen</w:t>
      </w:r>
      <w:r w:rsidR="007C700D">
        <w:t xml:space="preserve"> Thousand</w:t>
      </w:r>
      <w:r w:rsidR="0095362B">
        <w:t xml:space="preserve"> </w:t>
      </w:r>
      <w:r w:rsidR="000233AC">
        <w:t>Only (</w:t>
      </w:r>
      <w:r w:rsidR="00875146">
        <w:t>1</w:t>
      </w:r>
      <w:r w:rsidR="009265C8">
        <w:t>3</w:t>
      </w:r>
      <w:r w:rsidR="00894B80">
        <w:t>,</w:t>
      </w:r>
      <w:r w:rsidR="007C700D">
        <w:t>0</w:t>
      </w:r>
      <w:r w:rsidR="0088299A">
        <w:t>00</w:t>
      </w:r>
      <w:r w:rsidR="005729E7">
        <w:t xml:space="preserve">) </w:t>
      </w:r>
      <w:r w:rsidR="00FA4315">
        <w:t>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AB50A4" w:rsidRPr="00934870">
        <w:rPr>
          <w:rFonts w:ascii="Calibri" w:hAnsi="Calibri"/>
          <w:color w:val="000000"/>
        </w:rPr>
        <w:t>fulfill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fulfill any of its obligations nor be liable for any loss or damage suffered or incurred by the Client caused due to a force majeure event including directly or indirectly by any Act of God, war, act of terrorism, government restriction, strike, lockout, bandhs, bomb blast, terrorist activity, trade dispute, fire, explosion, flooding or other acts of nature, breakdown, </w:t>
      </w:r>
      <w:r w:rsidR="00E22D32" w:rsidRPr="00934870">
        <w:rPr>
          <w:rFonts w:ascii="Calibri" w:eastAsia="Calibri" w:hAnsi="Calibri" w:cs="Times New Roman"/>
          <w:color w:val="000000"/>
        </w:rPr>
        <w:t xml:space="preserve">inability to </w:t>
      </w:r>
      <w:r w:rsidR="00E22D32" w:rsidRPr="00934870">
        <w:rPr>
          <w:rFonts w:ascii="Calibri" w:eastAsia="Calibri" w:hAnsi="Calibri" w:cs="Times New Roman"/>
          <w:color w:val="000000"/>
        </w:rPr>
        <w:lastRenderedPageBreak/>
        <w:t xml:space="preserve">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willful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88299A" w:rsidRDefault="0088299A" w:rsidP="00AB50A4">
      <w:pPr>
        <w:spacing w:line="360" w:lineRule="auto"/>
        <w:ind w:left="1080"/>
      </w:pPr>
    </w:p>
    <w:p w:rsidR="00B00367" w:rsidRDefault="00B00367" w:rsidP="00AB50A4">
      <w:pPr>
        <w:spacing w:line="360" w:lineRule="auto"/>
        <w:ind w:left="1080"/>
      </w:pPr>
      <w:r>
        <w:lastRenderedPageBreak/>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firstRow="1" w:lastRow="0" w:firstColumn="1" w:lastColumn="0" w:noHBand="0" w:noVBand="1"/>
      </w:tblPr>
      <w:tblGrid>
        <w:gridCol w:w="6318"/>
        <w:gridCol w:w="2178"/>
      </w:tblGrid>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9265C8" w:rsidP="00916BAD">
            <w:pPr>
              <w:spacing w:line="360" w:lineRule="auto"/>
              <w:jc w:val="right"/>
            </w:pPr>
            <w:r>
              <w:t>65</w:t>
            </w:r>
            <w:r w:rsidR="005729E7">
              <w:t xml:space="preserve"> </w:t>
            </w:r>
            <w:r w:rsidR="00B00367">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9265C8" w:rsidP="009265C8">
            <w:pPr>
              <w:spacing w:line="360" w:lineRule="auto"/>
              <w:jc w:val="right"/>
            </w:pPr>
            <w:r>
              <w:t>Post 01:00 pm</w:t>
            </w:r>
            <w:bookmarkStart w:id="0" w:name="_GoBack"/>
            <w:bookmarkEnd w:id="0"/>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941A39" w:rsidP="00AB50A4">
            <w:pPr>
              <w:spacing w:line="360" w:lineRule="auto"/>
              <w:jc w:val="right"/>
            </w:pPr>
            <w:r>
              <w:t>7 days a week</w:t>
            </w:r>
          </w:p>
        </w:tc>
      </w:tr>
      <w:tr w:rsidR="00FE1C31" w:rsidTr="006A2689">
        <w:tc>
          <w:tcPr>
            <w:tcW w:w="6318" w:type="dxa"/>
          </w:tcPr>
          <w:p w:rsidR="00FE1C31" w:rsidRDefault="00FE1C31" w:rsidP="00AB50A4">
            <w:pPr>
              <w:spacing w:line="360" w:lineRule="auto"/>
            </w:pPr>
            <w:r>
              <w:t>Quantity of compost to be delivered to the Client weekly</w:t>
            </w:r>
          </w:p>
        </w:tc>
        <w:tc>
          <w:tcPr>
            <w:tcW w:w="2178" w:type="dxa"/>
          </w:tcPr>
          <w:p w:rsidR="00FE1C31" w:rsidRDefault="007C700D" w:rsidP="009265C8">
            <w:pPr>
              <w:spacing w:line="360" w:lineRule="auto"/>
              <w:jc w:val="right"/>
            </w:pPr>
            <w:r>
              <w:t>1</w:t>
            </w:r>
            <w:r w:rsidR="009265C8">
              <w:t>20</w:t>
            </w:r>
            <w:r w:rsidR="00360289">
              <w:t xml:space="preserve"> </w:t>
            </w:r>
            <w:r w:rsidR="00FE1C31">
              <w:t>kg</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233AC"/>
    <w:rsid w:val="00035D0F"/>
    <w:rsid w:val="000927E0"/>
    <w:rsid w:val="00115AC4"/>
    <w:rsid w:val="00154DE1"/>
    <w:rsid w:val="00194B6D"/>
    <w:rsid w:val="002574D9"/>
    <w:rsid w:val="00265B50"/>
    <w:rsid w:val="002B27F5"/>
    <w:rsid w:val="00334D24"/>
    <w:rsid w:val="00360289"/>
    <w:rsid w:val="00430CAC"/>
    <w:rsid w:val="00450C1B"/>
    <w:rsid w:val="004718F9"/>
    <w:rsid w:val="004D0B9A"/>
    <w:rsid w:val="004D464D"/>
    <w:rsid w:val="0055130C"/>
    <w:rsid w:val="005729E7"/>
    <w:rsid w:val="005A4375"/>
    <w:rsid w:val="006033F6"/>
    <w:rsid w:val="00642A9A"/>
    <w:rsid w:val="0065406B"/>
    <w:rsid w:val="00693266"/>
    <w:rsid w:val="006A2689"/>
    <w:rsid w:val="006C3456"/>
    <w:rsid w:val="006F7905"/>
    <w:rsid w:val="00733699"/>
    <w:rsid w:val="007351EE"/>
    <w:rsid w:val="007C700D"/>
    <w:rsid w:val="007D3813"/>
    <w:rsid w:val="007E0EEF"/>
    <w:rsid w:val="00875146"/>
    <w:rsid w:val="0088299A"/>
    <w:rsid w:val="00894B80"/>
    <w:rsid w:val="00916BAD"/>
    <w:rsid w:val="009265C8"/>
    <w:rsid w:val="00941A39"/>
    <w:rsid w:val="0095362B"/>
    <w:rsid w:val="00954C2E"/>
    <w:rsid w:val="009A7A28"/>
    <w:rsid w:val="00A43709"/>
    <w:rsid w:val="00AB36BC"/>
    <w:rsid w:val="00AB50A4"/>
    <w:rsid w:val="00AE5FB2"/>
    <w:rsid w:val="00AF3508"/>
    <w:rsid w:val="00B00367"/>
    <w:rsid w:val="00B314E2"/>
    <w:rsid w:val="00B50DC7"/>
    <w:rsid w:val="00BF7E5D"/>
    <w:rsid w:val="00C31869"/>
    <w:rsid w:val="00C50700"/>
    <w:rsid w:val="00C5352A"/>
    <w:rsid w:val="00CE1701"/>
    <w:rsid w:val="00CF343D"/>
    <w:rsid w:val="00D0541B"/>
    <w:rsid w:val="00D21A63"/>
    <w:rsid w:val="00D64B84"/>
    <w:rsid w:val="00D64DCD"/>
    <w:rsid w:val="00D84896"/>
    <w:rsid w:val="00DD7982"/>
    <w:rsid w:val="00E22D32"/>
    <w:rsid w:val="00E2797F"/>
    <w:rsid w:val="00E35825"/>
    <w:rsid w:val="00E57D88"/>
    <w:rsid w:val="00E8074C"/>
    <w:rsid w:val="00E83AC1"/>
    <w:rsid w:val="00F173FA"/>
    <w:rsid w:val="00F57649"/>
    <w:rsid w:val="00F756CC"/>
    <w:rsid w:val="00F757BE"/>
    <w:rsid w:val="00F82CBC"/>
    <w:rsid w:val="00F9052A"/>
    <w:rsid w:val="00FA4315"/>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69209">
      <w:bodyDiv w:val="1"/>
      <w:marLeft w:val="0"/>
      <w:marRight w:val="0"/>
      <w:marTop w:val="0"/>
      <w:marBottom w:val="0"/>
      <w:divBdr>
        <w:top w:val="none" w:sz="0" w:space="0" w:color="auto"/>
        <w:left w:val="none" w:sz="0" w:space="0" w:color="auto"/>
        <w:bottom w:val="none" w:sz="0" w:space="0" w:color="auto"/>
        <w:right w:val="none" w:sz="0" w:space="0" w:color="auto"/>
      </w:divBdr>
      <w:divsChild>
        <w:div w:id="1621495842">
          <w:marLeft w:val="0"/>
          <w:marRight w:val="0"/>
          <w:marTop w:val="0"/>
          <w:marBottom w:val="0"/>
          <w:divBdr>
            <w:top w:val="none" w:sz="0" w:space="0" w:color="auto"/>
            <w:left w:val="none" w:sz="0" w:space="0" w:color="auto"/>
            <w:bottom w:val="none" w:sz="0" w:space="0" w:color="auto"/>
            <w:right w:val="none" w:sz="0" w:space="0" w:color="auto"/>
          </w:divBdr>
        </w:div>
        <w:div w:id="1731920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37EB0-98FC-45AD-B6A9-3C48A028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3</cp:revision>
  <dcterms:created xsi:type="dcterms:W3CDTF">2016-06-22T12:20:00Z</dcterms:created>
  <dcterms:modified xsi:type="dcterms:W3CDTF">2016-06-22T12:23:00Z</dcterms:modified>
</cp:coreProperties>
</file>