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9"/>
        </w:rPr>
        <w:t>IBRAHIM HAMZA ALSALEM, ChE</w:t>
      </w:r>
    </w:p>
    <w:p>
      <w:pPr>
        <w:spacing w:after="0" w:before="0"/>
        <w:jc w:val="center"/>
      </w:pPr>
      <w:r>
        <w:rPr>
          <w:b w:val="0"/>
          <w:i/>
          <w:sz w:val="19"/>
        </w:rPr>
        <w:t>Economist | Commercial &amp; Investment Strategy | Partnerships &amp; Senior Stakeholder Management</w:t>
      </w:r>
    </w:p>
    <w:p>
      <w:pPr>
        <w:spacing w:after="0" w:before="0"/>
        <w:jc w:val="center"/>
      </w:pPr>
      <w:r>
        <w:rPr>
          <w:b w:val="0"/>
          <w:i w:val="0"/>
          <w:sz w:val="16"/>
        </w:rPr>
        <w:t>Riyadh, Saudi Arabia | +966 53 355 5954 | ibrahimhalsalem@gmail.com | linkedin.com/in/ibrahimhalsalem | Arabic &amp; English: Native</w:t>
      </w:r>
    </w:p>
    <w:p>
      <w:pPr>
        <w:spacing w:after="20" w:before="80"/>
        <w:pBdr>
          <w:bottom w:val="single" w:sz="6" w:space="1" w:color="333333"/>
        </w:pBdr>
      </w:pPr>
      <w:r>
        <w:rPr>
          <w:b/>
          <w:i w:val="0"/>
          <w:sz w:val="19"/>
        </w:rPr>
        <w:t>EXECUTIVE PROFILE</w:t>
      </w:r>
    </w:p>
    <w:p>
      <w:pPr>
        <w:spacing w:after="0" w:before="0"/>
        <w:jc w:val="both"/>
      </w:pPr>
      <w:r>
        <w:rPr>
          <w:b w:val="0"/>
          <w:i w:val="0"/>
        </w:rPr>
        <w:t>Chartered Economist with 10+ years across Saudi public institutions, management consulting, and private advisory, specializing in investment and commercial decision support, market and feasibility due diligence, financial and scenario modeling, and senior stakeholder management. Former Economic Expert at Saudi Arabia's Ministry of Economy and Planning, where I led cross-government workstreams with 10+ bodies and delivered decision-ready analysis to ministerial leadership. Currently advising private investors on GCC market entry, feasibility, and capital-allocation decisions through Basar Advisory. Combines quantitative rigor (econometrics, forecasting, valuation modeling) with a track record of converting ambiguous questions into clear recommendations for senior decision-makers; deep GCC and Vision 2030 programme experience.</w:t>
      </w:r>
    </w:p>
    <w:p>
      <w:pPr>
        <w:spacing w:after="20" w:before="80"/>
        <w:pBdr>
          <w:bottom w:val="single" w:sz="6" w:space="1" w:color="333333"/>
        </w:pBdr>
      </w:pPr>
      <w:r>
        <w:rPr>
          <w:b/>
          <w:i w:val="0"/>
          <w:sz w:val="19"/>
        </w:rPr>
        <w:t>CORE EXPERTISE</w:t>
      </w:r>
    </w:p>
    <w:p>
      <w:pPr>
        <w:spacing w:after="0" w:before="0"/>
        <w:jc w:val="both"/>
      </w:pPr>
      <w:r>
        <w:rPr>
          <w:b/>
        </w:rPr>
        <w:t xml:space="preserve">Investment &amp; Commercial Analysis: </w:t>
      </w:r>
      <w:r>
        <w:t>Market sizing, feasibility and business-case development, financial modeling and forecasting, scenario and sensitivity analysis, risk assessment, commercial due diligence, capital-allocation decision support, valuation (FMVA in progress)</w:t>
      </w:r>
    </w:p>
    <w:p>
      <w:pPr>
        <w:spacing w:after="0" w:before="0"/>
        <w:jc w:val="both"/>
      </w:pPr>
      <w:r>
        <w:rPr>
          <w:b/>
        </w:rPr>
        <w:t xml:space="preserve">Partnerships &amp; Stakeholders: </w:t>
      </w:r>
      <w:r>
        <w:t>Cross-institutional workstream leadership (10+ government bodies), ministerial and executive-level engagement, RFP and proposal development, inter-ministerial committee reporting, decision papers and policy briefs</w:t>
      </w:r>
    </w:p>
    <w:p>
      <w:pPr>
        <w:spacing w:after="0" w:before="0"/>
        <w:jc w:val="both"/>
      </w:pPr>
      <w:r>
        <w:rPr>
          <w:b/>
        </w:rPr>
        <w:t xml:space="preserve">Portfolio Monitoring &amp; Reporting: </w:t>
      </w:r>
      <w:r>
        <w:t>KPI scorecards, performance tracking across contract portfolios, consolidated budget and financial performance reporting, executive dashboards (Power BI, Tableau), periodic performance reviews for senior leadership</w:t>
      </w:r>
    </w:p>
    <w:p>
      <w:pPr>
        <w:spacing w:after="0" w:before="0"/>
        <w:jc w:val="both"/>
      </w:pPr>
      <w:r>
        <w:rPr>
          <w:b/>
        </w:rPr>
        <w:t xml:space="preserve">Sector &amp; Market Knowledge: </w:t>
      </w:r>
      <w:r>
        <w:t>GCC markets and FDI flows, Vision 2030 sectors, regulatory reform and impact analysis, labor markets, tourism, digital, financial services</w:t>
      </w:r>
    </w:p>
    <w:p>
      <w:pPr>
        <w:spacing w:after="0" w:before="0"/>
        <w:jc w:val="both"/>
      </w:pPr>
      <w:r>
        <w:rPr>
          <w:b/>
        </w:rPr>
        <w:t xml:space="preserve">Tools: </w:t>
      </w:r>
      <w:r>
        <w:t>Advanced Excel (financial modeling), Python, R, Stata, SQL, Power BI, Tableau</w:t>
      </w:r>
    </w:p>
    <w:p>
      <w:pPr>
        <w:spacing w:after="20" w:before="80"/>
        <w:pBdr>
          <w:bottom w:val="single" w:sz="6" w:space="1" w:color="333333"/>
        </w:pBdr>
      </w:pPr>
      <w:r>
        <w:rPr>
          <w:b/>
          <w:i w:val="0"/>
          <w:sz w:val="19"/>
        </w:rPr>
        <w:t>PROFESSIONAL EXPERIENCE</w:t>
      </w:r>
    </w:p>
    <w:p>
      <w:pPr>
        <w:tabs>
          <w:tab w:pos="10800" w:val="right"/>
        </w:tabs>
        <w:spacing w:after="0" w:before="60"/>
      </w:pPr>
      <w:r>
        <w:rPr>
          <w:b/>
        </w:rPr>
        <w:t>Independent Economic Consultant</w:t>
      </w:r>
      <w:r>
        <w:t xml:space="preserve"> | Basar Advisory | Riyadh, Saudi Arabia</w:t>
        <w:tab/>
      </w:r>
      <w:r>
        <w:rPr>
          <w:b/>
        </w:rPr>
        <w:t>Nov 2025 – Present</w:t>
      </w:r>
    </w:p>
    <w:p>
      <w:pPr>
        <w:pStyle w:val="ListBullet"/>
        <w:spacing w:after="0"/>
        <w:jc w:val="both"/>
      </w:pPr>
      <w:r>
        <w:t>Lead market-sizing, feasibility, scenario, and risk analysis for private investors assessing Saudi and GCC opportunities, supporting capital-allocation decisions.</w:t>
      </w:r>
    </w:p>
    <w:p>
      <w:pPr>
        <w:pStyle w:val="ListBullet"/>
        <w:spacing w:after="0"/>
        <w:jc w:val="both"/>
      </w:pPr>
      <w:r>
        <w:t>Delivered an end-to-end market-entry engagement (GCC/Jordan): consumer segmentation, willingness-to-pay modeling, and competitive analysis translated into a quantitative pricing and market-entry strategy.</w:t>
      </w:r>
    </w:p>
    <w:p>
      <w:pPr>
        <w:pStyle w:val="ListBullet"/>
        <w:spacing w:after="0"/>
        <w:jc w:val="both"/>
      </w:pPr>
      <w:r>
        <w:t>Develop quantitative frameworks covering Vision 2030 sectors, GCC FDI flows, and regulatory reform to support investment decisions.</w:t>
      </w:r>
    </w:p>
    <w:p>
      <w:pPr>
        <w:pStyle w:val="ListBullet"/>
        <w:spacing w:after="0"/>
        <w:jc w:val="both"/>
      </w:pPr>
      <w:r>
        <w:t>Present decision-ready recommendations to senior, non-technical stakeholders through clear narratives and data-driven communication.</w:t>
      </w:r>
    </w:p>
    <w:p>
      <w:pPr>
        <w:tabs>
          <w:tab w:pos="10800" w:val="right"/>
        </w:tabs>
        <w:spacing w:after="0" w:before="60"/>
      </w:pPr>
      <w:r>
        <w:rPr>
          <w:b/>
        </w:rPr>
        <w:t>Economic Expert — Labor Market Policy</w:t>
      </w:r>
      <w:r>
        <w:t xml:space="preserve"> | Ministry of Economy and Planning | Riyadh, Saudi Arabia</w:t>
        <w:tab/>
      </w:r>
      <w:r>
        <w:rPr>
          <w:b/>
        </w:rPr>
        <w:t>Nov 2023 – Nov 2025</w:t>
      </w:r>
    </w:p>
    <w:p>
      <w:pPr>
        <w:pStyle w:val="ListBullet"/>
        <w:spacing w:after="0"/>
        <w:jc w:val="both"/>
      </w:pPr>
      <w:r>
        <w:t>Lead economist for the labor market team and primary point of contact across cross-government workstreams involving 10+ government bodies, coordinating multi-source administrative data and aligning outputs with ministerial decisions.</w:t>
      </w:r>
    </w:p>
    <w:p>
      <w:pPr>
        <w:pStyle w:val="ListBullet"/>
        <w:spacing w:after="0"/>
        <w:jc w:val="both"/>
      </w:pPr>
      <w:r>
        <w:t>Owned three flagship workstreams: unemployment modeling and predictive forecasting, foreign-worker remittance forecasting, and shadow-economy estimation.</w:t>
      </w:r>
    </w:p>
    <w:p>
      <w:pPr>
        <w:pStyle w:val="ListBullet"/>
        <w:spacing w:after="0"/>
        <w:jc w:val="both"/>
      </w:pPr>
      <w:r>
        <w:t>Analyzed the impact of labor-market policies and regulatory developments; produced policy briefs and technical notes whose findings fed into published national strategy documents and reached the highest levels of government.</w:t>
      </w:r>
    </w:p>
    <w:p>
      <w:pPr>
        <w:pStyle w:val="ListBullet"/>
        <w:spacing w:after="0"/>
        <w:jc w:val="both"/>
      </w:pPr>
      <w:r>
        <w:t>Presented decision-ready reports to ministerial leadership and inter-ministerial committees, with transparent communication of assumptions, limitations, and risks.</w:t>
      </w:r>
    </w:p>
    <w:p>
      <w:pPr>
        <w:tabs>
          <w:tab w:pos="10800" w:val="right"/>
        </w:tabs>
        <w:spacing w:after="0" w:before="60"/>
      </w:pPr>
      <w:r>
        <w:rPr>
          <w:b/>
        </w:rPr>
        <w:t>Assistant Commercial &amp; Data Insight Manager</w:t>
      </w:r>
      <w:r>
        <w:t xml:space="preserve"> | Saudi Tourism Authority | Riyadh, Saudi Arabia</w:t>
        <w:tab/>
      </w:r>
      <w:r>
        <w:rPr>
          <w:b/>
        </w:rPr>
        <w:t>Jan 2023 – Aug 2023</w:t>
      </w:r>
    </w:p>
    <w:p>
      <w:pPr>
        <w:pStyle w:val="ListBullet"/>
        <w:spacing w:after="0"/>
        <w:jc w:val="both"/>
      </w:pPr>
      <w:r>
        <w:t>Produced economic impact analyses, predictive revenue forecasts, and competitive intelligence reports supporting multi-million SAR investment and commercial decisions.</w:t>
      </w:r>
    </w:p>
    <w:p>
      <w:pPr>
        <w:pStyle w:val="ListBullet"/>
        <w:spacing w:after="0"/>
        <w:jc w:val="both"/>
      </w:pPr>
      <w:r>
        <w:t>Led sector research on the inbound tourism portfolio: demand analysis, competitive benchmarking of source markets, and segmentation modeling; built executive dashboards for internal and external stakeholders.</w:t>
      </w:r>
    </w:p>
    <w:p>
      <w:pPr>
        <w:tabs>
          <w:tab w:pos="10800" w:val="right"/>
        </w:tabs>
        <w:spacing w:after="0" w:before="60"/>
      </w:pPr>
      <w:r>
        <w:rPr>
          <w:b/>
        </w:rPr>
        <w:t>Senior Analyst, Programs &amp; Planning</w:t>
      </w:r>
      <w:r>
        <w:t xml:space="preserve"> | Elm Company | Riyadh, Saudi Arabia</w:t>
        <w:tab/>
      </w:r>
      <w:r>
        <w:rPr>
          <w:b/>
        </w:rPr>
        <w:t>Jun 2019 – Dec 2021</w:t>
      </w:r>
    </w:p>
    <w:p>
      <w:pPr>
        <w:pStyle w:val="ListBullet"/>
        <w:spacing w:after="0"/>
        <w:jc w:val="both"/>
      </w:pPr>
      <w:r>
        <w:t>Led financial planning and project reconstruction across the department's contract portfolio of national-scale digital projects, applying scenario and sensitivity analysis within multi-year planning frameworks.</w:t>
      </w:r>
    </w:p>
    <w:p>
      <w:pPr>
        <w:pStyle w:val="ListBullet"/>
        <w:spacing w:after="0"/>
        <w:jc w:val="both"/>
      </w:pPr>
      <w:r>
        <w:t>Designed KPI scorecards adopted across the department; consolidated enterprise-wide budget forecasts, financial performance data, and delivery timelines into integrated performance reporting for senior leadership.</w:t>
      </w:r>
    </w:p>
    <w:p>
      <w:pPr>
        <w:tabs>
          <w:tab w:pos="10800" w:val="right"/>
        </w:tabs>
        <w:spacing w:after="0" w:before="60"/>
      </w:pPr>
      <w:r>
        <w:rPr>
          <w:b/>
        </w:rPr>
        <w:t>Associate Consultant</w:t>
      </w:r>
      <w:r>
        <w:t xml:space="preserve"> | Strategic Gears (management consulting) | Riyadh, Saudi Arabia</w:t>
        <w:tab/>
      </w:r>
      <w:r>
        <w:rPr>
          <w:b/>
        </w:rPr>
        <w:t>2018 – 2019</w:t>
      </w:r>
    </w:p>
    <w:p>
      <w:pPr>
        <w:pStyle w:val="ListBullet"/>
        <w:spacing w:after="0"/>
        <w:jc w:val="both"/>
      </w:pPr>
      <w:r>
        <w:t>Cross-sector research, market assessments, and competitive intelligence for public and private clients across government, financial services, and consumer sectors.</w:t>
      </w:r>
    </w:p>
    <w:p>
      <w:pPr>
        <w:tabs>
          <w:tab w:pos="10800" w:val="right"/>
        </w:tabs>
        <w:spacing w:after="0" w:before="60"/>
      </w:pPr>
      <w:r>
        <w:rPr>
          <w:b/>
        </w:rPr>
        <w:t>Business Intelligence Analyst</w:t>
      </w:r>
      <w:r>
        <w:t xml:space="preserve"> | Takamol Holding | Riyadh, Saudi Arabia</w:t>
        <w:tab/>
      </w:r>
      <w:r>
        <w:rPr>
          <w:b/>
        </w:rPr>
        <w:t>Sep 2015 – Sep 2018</w:t>
      </w:r>
    </w:p>
    <w:p>
      <w:pPr>
        <w:pStyle w:val="ListBullet"/>
        <w:spacing w:after="0"/>
        <w:jc w:val="both"/>
      </w:pPr>
      <w:r>
        <w:t>Analytical advisor to three VPs within the Saudi Employment Department; designed dashboards and simulations measuring program effectiveness and supporting Vision 2030–aligned business cases.</w:t>
      </w:r>
    </w:p>
    <w:p>
      <w:pPr>
        <w:pStyle w:val="ListBullet"/>
        <w:spacing w:after="0"/>
        <w:jc w:val="both"/>
      </w:pPr>
      <w:r>
        <w:t>Concurrent engagement (2017), Hawaz: developed and presented a behavioral economics RFP submission to the Ministry of Health; the bid was successful.</w:t>
      </w:r>
    </w:p>
    <w:p>
      <w:pPr>
        <w:spacing w:after="20" w:before="80"/>
        <w:pBdr>
          <w:bottom w:val="single" w:sz="6" w:space="1" w:color="333333"/>
        </w:pBdr>
      </w:pPr>
      <w:r>
        <w:rPr>
          <w:b/>
          <w:i w:val="0"/>
          <w:sz w:val="19"/>
        </w:rPr>
        <w:t>EDUCATION</w:t>
      </w:r>
    </w:p>
    <w:p>
      <w:pPr>
        <w:spacing w:after="0" w:before="0"/>
      </w:pPr>
      <w:r>
        <w:rPr>
          <w:b/>
        </w:rPr>
        <w:t>Imperial College London</w:t>
      </w:r>
      <w:r>
        <w:t xml:space="preserve"> — MSc Economics &amp; Strategy for Business (Merit), 2020 – 2022</w:t>
      </w:r>
    </w:p>
    <w:p>
      <w:pPr>
        <w:spacing w:after="0" w:before="0"/>
      </w:pPr>
      <w:r>
        <w:rPr>
          <w:b/>
        </w:rPr>
        <w:t>University of Michigan, Ann Arbor</w:t>
      </w:r>
      <w:r>
        <w:t xml:space="preserve"> — BSc Economics &amp; BSc Psychology (Dual Degree); Minors in Mathematics and Political Science, 2010 – 2015. GPA 3.55 / 4.00, Dean's List</w:t>
      </w:r>
    </w:p>
    <w:p>
      <w:pPr>
        <w:spacing w:after="20" w:before="80"/>
        <w:pBdr>
          <w:bottom w:val="single" w:sz="6" w:space="1" w:color="333333"/>
        </w:pBdr>
      </w:pPr>
      <w:r>
        <w:rPr>
          <w:b/>
          <w:i w:val="0"/>
          <w:sz w:val="19"/>
        </w:rPr>
        <w:t>CREDENTIALS &amp; LANGUAGES</w:t>
      </w:r>
    </w:p>
    <w:p>
      <w:pPr>
        <w:spacing w:after="0" w:before="0"/>
        <w:jc w:val="both"/>
      </w:pPr>
      <w:r>
        <w:rPr>
          <w:b/>
        </w:rPr>
        <w:t xml:space="preserve">Certifications: </w:t>
      </w:r>
      <w:r>
        <w:t>Chartered Economist (ChE), GAFM — valid through Apr 2028 | FMVA and BIDA, Corporate Finance Institute — in progress | Advanced Data Storytelling, Boston University (2018)</w:t>
      </w:r>
    </w:p>
    <w:p>
      <w:pPr>
        <w:spacing w:after="0" w:before="0"/>
        <w:jc w:val="both"/>
      </w:pPr>
      <w:r>
        <w:rPr>
          <w:b/>
        </w:rPr>
        <w:t xml:space="preserve">Languages &amp; Regional Knowledge: </w:t>
      </w:r>
      <w:r>
        <w:t>Native bilingual Arabic and English; deep GCC regional knowledge and professional network.</w:t>
      </w:r>
    </w:p>
    <w:sectPr w:rsidR="00FC693F" w:rsidRPr="0006063C" w:rsidSect="00034616">
      <w:pgSz w:w="12240" w:h="15840"/>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before="0" w:line="240" w:lineRule="auto"/>
      <w:ind w:left="259" w:hanging="202"/>
      <w:contextualSpacing/>
    </w:pPr>
    <w:rPr>
      <w:rFonts w:ascii="Calibri" w:hAnsi="Calibr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