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9"/>
        </w:rPr>
        <w:t>IBRAHIM HAMZA ALSALEM, ChE</w:t>
      </w:r>
    </w:p>
    <w:p>
      <w:pPr>
        <w:spacing w:after="0" w:before="0"/>
        <w:jc w:val="center"/>
      </w:pPr>
      <w:r>
        <w:rPr>
          <w:b w:val="0"/>
          <w:i/>
          <w:sz w:val="19"/>
        </w:rPr>
        <w:t>Market Intelligence &amp; Strategic Insights | Economist | Competitive Benchmarking &amp; Strategic Foresight</w:t>
      </w:r>
    </w:p>
    <w:p>
      <w:pPr>
        <w:spacing w:after="0" w:before="0"/>
        <w:jc w:val="center"/>
      </w:pPr>
      <w:r>
        <w:rPr>
          <w:b w:val="0"/>
          <w:i w:val="0"/>
          <w:sz w:val="16"/>
        </w:rPr>
        <w:t>Riyadh, Saudi Arabia | +966 53 355 5954 | ibrahimhalsalem@gmail.com | linkedin.com/in/ibrahimhalsalem | Arabic &amp; English: Native</w:t>
      </w:r>
    </w:p>
    <w:p>
      <w:pPr>
        <w:spacing w:after="20" w:before="80"/>
        <w:pBdr>
          <w:bottom w:val="single" w:sz="6" w:space="1" w:color="333333"/>
        </w:pBdr>
      </w:pPr>
      <w:r>
        <w:rPr>
          <w:b/>
          <w:i w:val="0"/>
          <w:sz w:val="19"/>
        </w:rPr>
        <w:t>EXECUTIVE PROFILE</w:t>
      </w:r>
    </w:p>
    <w:p>
      <w:pPr>
        <w:spacing w:after="0" w:before="0"/>
        <w:jc w:val="both"/>
      </w:pPr>
      <w:r>
        <w:rPr>
          <w:b w:val="0"/>
          <w:i w:val="0"/>
        </w:rPr>
        <w:t>Chartered Economist with 10+ years designing research methodologies and delivering market, competitor, and sector intelligence across Saudi public institutions, management consulting, a national technology company (Elm), and private advisory. Former Economic Expert at the Ministry of Economy and Planning, where I built the research agenda and methodologies for a national labor-market intelligence function, coordinated 10+ government data sources, and produced foresight and scenario analysis that fed into published national strategy. Track record spans market sizing, demand and segmentation modeling, competitive benchmarking, regulatory and policy impact analysis, trend forecasting, and scenario planning, translated into concise recommendations for ministerial and executive leadership; working knowledge of P&amp;L, budget, and investment economics from financial planning across Elm's contract portfolio.</w:t>
      </w:r>
    </w:p>
    <w:p>
      <w:pPr>
        <w:spacing w:after="20" w:before="80"/>
        <w:pBdr>
          <w:bottom w:val="single" w:sz="6" w:space="1" w:color="333333"/>
        </w:pBdr>
      </w:pPr>
      <w:r>
        <w:rPr>
          <w:b/>
          <w:i w:val="0"/>
          <w:sz w:val="19"/>
        </w:rPr>
        <w:t>CORE EXPERTISE</w:t>
      </w:r>
    </w:p>
    <w:p>
      <w:pPr>
        <w:spacing w:after="0" w:before="0"/>
        <w:jc w:val="both"/>
      </w:pPr>
      <w:r>
        <w:rPr>
          <w:b/>
        </w:rPr>
        <w:t xml:space="preserve">Market &amp; Industry Intelligence: </w:t>
      </w:r>
      <w:r>
        <w:t>Research methodology design, market sizing and attractiveness, customer segmentation, demand modeling, intelligence source validation and triangulation, knowledge repositories and classifications, survey and data-collection design</w:t>
      </w:r>
    </w:p>
    <w:p>
      <w:pPr>
        <w:spacing w:after="0" w:before="0"/>
        <w:jc w:val="both"/>
      </w:pPr>
      <w:r>
        <w:rPr>
          <w:b/>
        </w:rPr>
        <w:t xml:space="preserve">Competitive &amp; Benchmarking: </w:t>
      </w:r>
      <w:r>
        <w:t>Competitor and source-market benchmarking frameworks, competitive landscape and positioning analysis, industry value-chain and ecosystem assessment, competitive intelligence reporting</w:t>
      </w:r>
    </w:p>
    <w:p>
      <w:pPr>
        <w:spacing w:after="0" w:before="0"/>
        <w:jc w:val="both"/>
      </w:pPr>
      <w:r>
        <w:rPr>
          <w:b/>
        </w:rPr>
        <w:t xml:space="preserve">Foresight &amp; Scenarios: </w:t>
      </w:r>
      <w:r>
        <w:t>Trend forecasting, time-series and ARIMA, scenario and sensitivity analysis, regulatory and policy impact analysis, monitoring of economic, regulatory, and technological developments</w:t>
      </w:r>
    </w:p>
    <w:p>
      <w:pPr>
        <w:spacing w:after="0" w:before="0"/>
        <w:jc w:val="both"/>
      </w:pPr>
      <w:r>
        <w:rPr>
          <w:b/>
        </w:rPr>
        <w:t xml:space="preserve">Strategic Studies &amp; Decision Support: </w:t>
      </w:r>
      <w:r>
        <w:t>Market-entry, growth, partnership, and investment assessments; feasibility and business cases; P&amp;L, cost-driver, and budget literacy; executive briefings and decision papers</w:t>
      </w:r>
    </w:p>
    <w:p>
      <w:pPr>
        <w:spacing w:after="0" w:before="0"/>
        <w:jc w:val="both"/>
      </w:pPr>
      <w:r>
        <w:rPr>
          <w:b/>
        </w:rPr>
        <w:t xml:space="preserve">Tools &amp; Analytics: </w:t>
      </w:r>
      <w:r>
        <w:t>R, Stata, Python, SQL, Power BI, Tableau, R Shiny, Advanced Excel; machine learning and predictive analytics; AI-assisted research and synthesis workflows</w:t>
      </w:r>
    </w:p>
    <w:p>
      <w:pPr>
        <w:spacing w:after="20" w:before="80"/>
        <w:pBdr>
          <w:bottom w:val="single" w:sz="6" w:space="1" w:color="333333"/>
        </w:pBdr>
      </w:pPr>
      <w:r>
        <w:rPr>
          <w:b/>
          <w:i w:val="0"/>
          <w:sz w:val="19"/>
        </w:rPr>
        <w:t>PROFESSIONAL EXPERIENCE</w:t>
      </w:r>
    </w:p>
    <w:p>
      <w:pPr>
        <w:tabs>
          <w:tab w:pos="10800" w:val="right"/>
        </w:tabs>
        <w:spacing w:after="0" w:before="60"/>
      </w:pPr>
      <w:r>
        <w:rPr>
          <w:b/>
        </w:rPr>
        <w:t>Independent Economic Consultant</w:t>
      </w:r>
      <w:r>
        <w:t xml:space="preserve"> | Basar Advisory | Riyadh, Saudi Arabia</w:t>
        <w:tab/>
      </w:r>
      <w:r>
        <w:rPr>
          <w:b/>
        </w:rPr>
        <w:t>Nov 2025 – Present</w:t>
      </w:r>
    </w:p>
    <w:p>
      <w:pPr>
        <w:pStyle w:val="ListBullet"/>
        <w:spacing w:after="0"/>
        <w:jc w:val="both"/>
      </w:pPr>
      <w:r>
        <w:t>Designed and delivered an end-to-end market research engagement (GCC/Jordan): consumer segmentation, willingness-to-pay modeling, and competitive analysis translated into a quantitative pricing and market-entry strategy.</w:t>
      </w:r>
    </w:p>
    <w:p>
      <w:pPr>
        <w:pStyle w:val="ListBullet"/>
        <w:spacing w:after="0"/>
        <w:jc w:val="both"/>
      </w:pPr>
      <w:r>
        <w:t>Lead market-sizing, forecasting, feasibility, scenario, and risk analysis for private investors assessing Saudi and GCC opportunities.</w:t>
      </w:r>
    </w:p>
    <w:p>
      <w:pPr>
        <w:pStyle w:val="ListBullet"/>
        <w:spacing w:after="0"/>
        <w:jc w:val="both"/>
      </w:pPr>
      <w:r>
        <w:t>Develop quantitative frameworks covering Vision 2030 sectors, GCC FDI flows, regulatory reform, and expansion strategy; present decision-ready insights to senior, non-technical stakeholders.</w:t>
      </w:r>
    </w:p>
    <w:p>
      <w:pPr>
        <w:tabs>
          <w:tab w:pos="10800" w:val="right"/>
        </w:tabs>
        <w:spacing w:after="0" w:before="60"/>
      </w:pPr>
      <w:r>
        <w:rPr>
          <w:b/>
        </w:rPr>
        <w:t>Economic Expert — Labor Market Policy</w:t>
      </w:r>
      <w:r>
        <w:t xml:space="preserve"> | Ministry of Economy and Planning | Riyadh, Saudi Arabia</w:t>
        <w:tab/>
      </w:r>
      <w:r>
        <w:rPr>
          <w:b/>
        </w:rPr>
        <w:t>Nov 2023 – Nov 2025</w:t>
      </w:r>
    </w:p>
    <w:p>
      <w:pPr>
        <w:pStyle w:val="ListBullet"/>
        <w:spacing w:after="0"/>
        <w:jc w:val="both"/>
      </w:pPr>
      <w:r>
        <w:t>Lead researcher for the labor market team: designed and continuously refined research methodologies at national scale using multi-year datasets (2013–2023), with end-to-end ownership from research design and data collection through modeling, validation, and reporting.</w:t>
      </w:r>
    </w:p>
    <w:p>
      <w:pPr>
        <w:pStyle w:val="ListBullet"/>
        <w:spacing w:after="0"/>
        <w:jc w:val="both"/>
      </w:pPr>
      <w:r>
        <w:t>Established reliable multi-source intelligence by integrating administrative data from 10+ government bodies; owned three flagship workstreams: unemployment modeling and forecasting, remittance forecasting, and shadow-economy estimation.</w:t>
      </w:r>
    </w:p>
    <w:p>
      <w:pPr>
        <w:pStyle w:val="ListBullet"/>
        <w:spacing w:after="0"/>
        <w:jc w:val="both"/>
      </w:pPr>
      <w:r>
        <w:t>Monitored and assessed the impact of labor-market policies and regulatory developments; produced research reports, technical notes, and policy briefs whose findings fed into published national strategy documents.</w:t>
      </w:r>
    </w:p>
    <w:p>
      <w:pPr>
        <w:pStyle w:val="ListBullet"/>
        <w:spacing w:after="0"/>
        <w:jc w:val="both"/>
      </w:pPr>
      <w:r>
        <w:t>Identified a pronounced SAR 4,000 wage-threshold clustering effect and framed its behavioral and policy implications; briefed ministerial leadership and inter-ministerial committees with decision-ready recommendations.</w:t>
      </w:r>
    </w:p>
    <w:p>
      <w:pPr>
        <w:tabs>
          <w:tab w:pos="10800" w:val="right"/>
        </w:tabs>
        <w:spacing w:after="0" w:before="60"/>
      </w:pPr>
      <w:r>
        <w:rPr>
          <w:b/>
        </w:rPr>
        <w:t>Assistant Commercial &amp; Data Insight Manager</w:t>
      </w:r>
      <w:r>
        <w:t xml:space="preserve"> | Saudi Tourism Authority | Riyadh, Saudi Arabia</w:t>
        <w:tab/>
      </w:r>
      <w:r>
        <w:rPr>
          <w:b/>
        </w:rPr>
        <w:t>Jan 2023 – Aug 2023</w:t>
      </w:r>
    </w:p>
    <w:p>
      <w:pPr>
        <w:pStyle w:val="ListBullet"/>
        <w:spacing w:after="0"/>
        <w:jc w:val="both"/>
      </w:pPr>
      <w:r>
        <w:t>Led sector research on the inbound tourism portfolio: demand pattern analysis, competitive benchmarking of source markets, and segmentation modeling using consumer, economic, and behavioral data.</w:t>
      </w:r>
    </w:p>
    <w:p>
      <w:pPr>
        <w:pStyle w:val="ListBullet"/>
        <w:spacing w:after="0"/>
        <w:jc w:val="both"/>
      </w:pPr>
      <w:r>
        <w:t>Produced economic impact analyses, predictive revenue forecasts, and competitive intelligence reports supporting multi-million SAR investment and commercial decisions; designed executive dashboards for internal and external stakeholders.</w:t>
      </w:r>
    </w:p>
    <w:p>
      <w:pPr>
        <w:tabs>
          <w:tab w:pos="10800" w:val="right"/>
        </w:tabs>
        <w:spacing w:after="0" w:before="60"/>
      </w:pPr>
      <w:r>
        <w:rPr>
          <w:b/>
        </w:rPr>
        <w:t>Senior Analyst, Programs &amp; Planning</w:t>
      </w:r>
      <w:r>
        <w:t xml:space="preserve"> | Elm Company (digital solutions and technology) | Riyadh, Saudi Arabia</w:t>
        <w:tab/>
      </w:r>
      <w:r>
        <w:rPr>
          <w:b/>
        </w:rPr>
        <w:t>Jun 2019 – Dec 2021</w:t>
      </w:r>
    </w:p>
    <w:p>
      <w:pPr>
        <w:pStyle w:val="ListBullet"/>
        <w:spacing w:after="0"/>
        <w:jc w:val="both"/>
      </w:pPr>
      <w:r>
        <w:t>Led research and analytical workstreams across the Programs &amp; Planning contract portfolio of national-scale digital projects, applying scenario and sensitivity analysis within multi-year planning frameworks.</w:t>
      </w:r>
    </w:p>
    <w:p>
      <w:pPr>
        <w:pStyle w:val="ListBullet"/>
        <w:spacing w:after="0"/>
        <w:jc w:val="both"/>
      </w:pPr>
      <w:r>
        <w:t>Designed KPI scorecards adopted across the department; consolidated enterprise-wide budget forecasts, financial performance data, and program delivery timelines into integrated reporting for senior leadership.</w:t>
      </w:r>
    </w:p>
    <w:p>
      <w:pPr>
        <w:tabs>
          <w:tab w:pos="10800" w:val="right"/>
        </w:tabs>
        <w:spacing w:after="0" w:before="60"/>
      </w:pPr>
      <w:r>
        <w:rPr>
          <w:b/>
        </w:rPr>
        <w:t>Associate Consultant</w:t>
      </w:r>
      <w:r>
        <w:t xml:space="preserve"> | Strategic Gears (management consulting) | Riyadh, Saudi Arabia</w:t>
        <w:tab/>
      </w:r>
      <w:r>
        <w:rPr>
          <w:b/>
        </w:rPr>
        <w:t>2018 – 2019</w:t>
      </w:r>
    </w:p>
    <w:p>
      <w:pPr>
        <w:pStyle w:val="ListBullet"/>
        <w:spacing w:after="0"/>
        <w:jc w:val="both"/>
      </w:pPr>
      <w:r>
        <w:t>Cross-sector research, market assessments, and competitive intelligence for public and private clients across government, financial services, and consumer sectors.</w:t>
      </w:r>
    </w:p>
    <w:p>
      <w:pPr>
        <w:tabs>
          <w:tab w:pos="10800" w:val="right"/>
        </w:tabs>
        <w:spacing w:after="0" w:before="60"/>
      </w:pPr>
      <w:r>
        <w:rPr>
          <w:b/>
        </w:rPr>
        <w:t>Business Intelligence Analyst</w:t>
      </w:r>
      <w:r>
        <w:t xml:space="preserve"> | Takamol Holding | Riyadh, Saudi Arabia</w:t>
        <w:tab/>
      </w:r>
      <w:r>
        <w:rPr>
          <w:b/>
        </w:rPr>
        <w:t>Sep 2015 – Sep 2018</w:t>
      </w:r>
    </w:p>
    <w:p>
      <w:pPr>
        <w:pStyle w:val="ListBullet"/>
        <w:spacing w:after="0"/>
        <w:jc w:val="both"/>
      </w:pPr>
      <w:r>
        <w:t>Analytical advisor to three VPs within the Saudi Employment Department; built BI infrastructure and econometric models in R and Stata supporting national labor-market research and topical workforce reports.</w:t>
      </w:r>
    </w:p>
    <w:p>
      <w:pPr>
        <w:pStyle w:val="ListBullet"/>
        <w:spacing w:after="0"/>
        <w:jc w:val="both"/>
      </w:pPr>
      <w:r>
        <w:t>Designed dashboards and simulations measuring program effectiveness and supporting Vision 2030–aligned business cases. Concurrent engagement (2017), Hawaz: developed a behavioral economics RFP submission to the Ministry of Health; the bid was successful.</w:t>
      </w:r>
    </w:p>
    <w:p>
      <w:pPr>
        <w:spacing w:after="20" w:before="80"/>
        <w:pBdr>
          <w:bottom w:val="single" w:sz="6" w:space="1" w:color="333333"/>
        </w:pBdr>
      </w:pPr>
      <w:r>
        <w:rPr>
          <w:b/>
          <w:i w:val="0"/>
          <w:sz w:val="19"/>
        </w:rPr>
        <w:t>EDUCATION</w:t>
      </w:r>
    </w:p>
    <w:p>
      <w:pPr>
        <w:spacing w:after="0" w:before="0"/>
      </w:pPr>
      <w:r>
        <w:rPr>
          <w:b/>
        </w:rPr>
        <w:t>Imperial College London</w:t>
      </w:r>
      <w:r>
        <w:t xml:space="preserve"> — MSc Economics &amp; Strategy for Business (Merit), 2020 – 2022</w:t>
      </w:r>
    </w:p>
    <w:p>
      <w:pPr>
        <w:spacing w:after="0" w:before="0"/>
      </w:pPr>
      <w:r>
        <w:rPr>
          <w:b/>
        </w:rPr>
        <w:t>University of Michigan, Ann Arbor</w:t>
      </w:r>
      <w:r>
        <w:t xml:space="preserve"> — BSc Economics &amp; BSc Psychology (Dual Degree); Minors in Mathematics and Political Science, 2010 – 2015. GPA 3.55 / 4.00, Dean's List</w:t>
      </w:r>
    </w:p>
    <w:p>
      <w:pPr>
        <w:spacing w:after="20" w:before="80"/>
        <w:pBdr>
          <w:bottom w:val="single" w:sz="6" w:space="1" w:color="333333"/>
        </w:pBdr>
      </w:pPr>
      <w:r>
        <w:rPr>
          <w:b/>
          <w:i w:val="0"/>
          <w:sz w:val="19"/>
        </w:rPr>
        <w:t>CREDENTIALS &amp; LANGUAGES</w:t>
      </w:r>
    </w:p>
    <w:p>
      <w:pPr>
        <w:spacing w:after="0" w:before="0"/>
        <w:jc w:val="both"/>
      </w:pPr>
      <w:r>
        <w:rPr>
          <w:b/>
        </w:rPr>
        <w:t xml:space="preserve">Certifications: </w:t>
      </w:r>
      <w:r>
        <w:t>Chartered Economist (ChE), GAFM — valid through Apr 2028 | FMVA and BIDA, Corporate Finance Institute — in progress | Advanced Data Storytelling, Boston University (2018)</w:t>
      </w:r>
    </w:p>
    <w:p>
      <w:pPr>
        <w:spacing w:after="0" w:before="0"/>
        <w:jc w:val="both"/>
      </w:pPr>
      <w:r>
        <w:rPr>
          <w:b/>
        </w:rPr>
        <w:t xml:space="preserve">Languages &amp; Regional Knowledge: </w:t>
      </w:r>
      <w:r>
        <w:t>Native bilingual Arabic and English; deep GCC regional knowledge and professional network.</w:t>
      </w:r>
    </w:p>
    <w:sectPr w:rsidR="00FC693F" w:rsidRPr="0006063C" w:rsidSect="00034616">
      <w:pgSz w:w="12240" w:h="15840"/>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before="0" w:line="240" w:lineRule="auto"/>
      <w:ind w:left="259" w:hanging="202"/>
      <w:contextualSpacing/>
    </w:pPr>
    <w:rPr>
      <w:rFonts w:ascii="Calibri" w:hAnsi="Calibr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