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30B6062A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0E0BB3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="00854898">
        <w:rPr>
          <w:rFonts w:ascii="Times New Roman" w:hAnsi="Times New Roman" w:cs="Times New Roman"/>
          <w:b/>
          <w:sz w:val="20"/>
          <w:szCs w:val="20"/>
          <w:u w:val="single"/>
        </w:rPr>
        <w:t>5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r w:rsidRPr="008E2BB9">
        <w:rPr>
          <w:sz w:val="20"/>
        </w:rPr>
        <w:t>Filesizes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filesize-optimized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33DCD7DC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9D5C56">
        <w:rPr>
          <w:rFonts w:ascii="Times New Roman" w:hAnsi="Times New Roman" w:cs="Times New Roman"/>
          <w:sz w:val="20"/>
          <w:szCs w:val="20"/>
        </w:rPr>
        <w:t>809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zipfile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, in the last attached zipfile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26588044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854898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854898">
        <w:rPr>
          <w:rFonts w:ascii="Times New Roman" w:hAnsi="Times New Roman" w:cs="Times New Roman"/>
          <w:sz w:val="20"/>
          <w:szCs w:val="20"/>
        </w:rPr>
        <w:t>78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0E3AAFD8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D95D59">
        <w:rPr>
          <w:rFonts w:ascii="Times New Roman" w:hAnsi="Times New Roman" w:cs="Times New Roman"/>
          <w:sz w:val="20"/>
          <w:szCs w:val="20"/>
        </w:rPr>
        <w:t>79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6BDB0277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854898">
        <w:rPr>
          <w:rFonts w:ascii="Times New Roman" w:hAnsi="Times New Roman" w:cs="Times New Roman"/>
          <w:sz w:val="20"/>
          <w:szCs w:val="20"/>
        </w:rPr>
        <w:t>5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0E0BB3">
        <w:rPr>
          <w:rFonts w:ascii="Times New Roman" w:hAnsi="Times New Roman" w:cs="Times New Roman"/>
          <w:sz w:val="20"/>
          <w:szCs w:val="20"/>
        </w:rPr>
        <w:t>6</w:t>
      </w:r>
      <w:r w:rsidR="00302C73">
        <w:rPr>
          <w:rFonts w:ascii="Times New Roman" w:hAnsi="Times New Roman" w:cs="Times New Roman"/>
          <w:sz w:val="20"/>
          <w:szCs w:val="20"/>
        </w:rPr>
        <w:t>87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zipfile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>0218 (with url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0 SNRA FOIA FOIA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50A6F43D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0E0BB3">
        <w:rPr>
          <w:rFonts w:ascii="Times New Roman" w:hAnsi="Times New Roman" w:cs="Times New Roman"/>
          <w:sz w:val="20"/>
          <w:szCs w:val="20"/>
        </w:rPr>
        <w:t>4</w:t>
      </w:r>
      <w:r w:rsidR="003F0CEE">
        <w:rPr>
          <w:rFonts w:ascii="Times New Roman" w:hAnsi="Times New Roman" w:cs="Times New Roman"/>
          <w:sz w:val="20"/>
          <w:szCs w:val="20"/>
        </w:rPr>
        <w:t>75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filesize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EB0AE0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ABE2" w14:textId="77777777" w:rsidR="00EB0AE0" w:rsidRDefault="00EB0AE0" w:rsidP="00E50C2E">
      <w:r>
        <w:separator/>
      </w:r>
    </w:p>
  </w:endnote>
  <w:endnote w:type="continuationSeparator" w:id="0">
    <w:p w14:paraId="4FA95A57" w14:textId="77777777" w:rsidR="00EB0AE0" w:rsidRDefault="00EB0AE0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EAA7" w14:textId="77777777" w:rsidR="00EB0AE0" w:rsidRDefault="00EB0AE0" w:rsidP="00E50C2E">
      <w:r>
        <w:separator/>
      </w:r>
    </w:p>
  </w:footnote>
  <w:footnote w:type="continuationSeparator" w:id="0">
    <w:p w14:paraId="460ED3F7" w14:textId="77777777" w:rsidR="00EB0AE0" w:rsidRDefault="00EB0AE0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03E2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1E36"/>
    <w:rsid w:val="00302C73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3F0CEE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275AE"/>
    <w:rsid w:val="00530BE5"/>
    <w:rsid w:val="00535927"/>
    <w:rsid w:val="00536D97"/>
    <w:rsid w:val="0054724E"/>
    <w:rsid w:val="005643EE"/>
    <w:rsid w:val="00596900"/>
    <w:rsid w:val="005C0DB4"/>
    <w:rsid w:val="005C3E82"/>
    <w:rsid w:val="005D2831"/>
    <w:rsid w:val="005D3DCB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4809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3514D"/>
    <w:rsid w:val="00842EA3"/>
    <w:rsid w:val="0084582A"/>
    <w:rsid w:val="0085418D"/>
    <w:rsid w:val="00854898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475E5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5C5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2DA4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09BB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E4B6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B0AE0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4</cp:revision>
  <cp:lastPrinted>2021-10-11T15:26:00Z</cp:lastPrinted>
  <dcterms:created xsi:type="dcterms:W3CDTF">2021-10-25T15:58:00Z</dcterms:created>
  <dcterms:modified xsi:type="dcterms:W3CDTF">2021-10-25T23:33:00Z</dcterms:modified>
</cp:coreProperties>
</file>