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58同城二手车数据爬取可视化分析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数据采集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"https://gy.58.com/ershouche/?&amp;PGTID=0d30001d-007d-f95d-deda-adfdf6bbadaa&amp;ClickID=59"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https://gy.58.com/ershouche/?&amp;PGTID=0d30001d-007d-f95d-deda-adfdf6bbadaa&amp;ClickID=59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r>
        <w:drawing>
          <wp:inline distT="0" distB="0" distL="114300" distR="114300">
            <wp:extent cx="5269865" cy="2407920"/>
            <wp:effectExtent l="0" t="0" r="63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 70页，爬取每一页的每一年二手车的详细链接：</w:t>
      </w:r>
    </w:p>
    <w:p>
      <w:r>
        <w:drawing>
          <wp:inline distT="0" distB="0" distL="114300" distR="114300">
            <wp:extent cx="5266690" cy="2605405"/>
            <wp:effectExtent l="0" t="0" r="381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通过详细链接，访问详细信息，爬取页面：交易市场，车辆标题，表显里程，首次上牌，排量，变速箱，排行标准，二手价，新车报价，这些字段：</w:t>
      </w:r>
    </w:p>
    <w:p>
      <w:r>
        <w:drawing>
          <wp:inline distT="0" distB="0" distL="114300" distR="114300">
            <wp:extent cx="5263515" cy="2385695"/>
            <wp:effectExtent l="0" t="0" r="698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数据以csv形式存储，字段按照：交易市场，车辆标题，表显里程，首次上牌，排量，变速箱，排行标准，二手价，新车报价，链接，这样排列。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实现流程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分5个模块：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spiderMan：爬虫运行模块，爬虫逻辑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urlManager：管理 url 的模块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htmlDownload：请求访问模块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parseData：解析提取数据模块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dataOutput：数据输出存储模块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"https://blog.csdn.net/zjkpy_5/article/details/104717974"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https://blog.csdn.net/zjkpy_5/article/details/104717974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字体反爬破解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数据分析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 R 进行可视化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F25CBA"/>
    <w:rsid w:val="0CED52D2"/>
    <w:rsid w:val="1AC96A59"/>
    <w:rsid w:val="267C6048"/>
    <w:rsid w:val="3FF25CBA"/>
    <w:rsid w:val="49DE7A17"/>
    <w:rsid w:val="6B453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35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2020-03-06T04:31:00Z</dcterms:created>
  <dc:creator>木下瞳</dc:creator>
  <cp:lastModifiedBy>木下瞳</cp:lastModifiedBy>
  <dcterms:modified xsi:type="dcterms:W3CDTF">2020-03-09T05:58:33Z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