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产品链接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"https://cloud.tencent.com/act/event/ocrdemo#"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https://cloud.tencent.com/act/event/ocrdemo#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9585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快速接入文档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"https://cloud.tencent.com/document/product/866/34681"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https://cloud.tencent.com/document/product/866/34681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150" cy="243078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按照【前提条件】开通相应服务，并打开【</w:t>
      </w:r>
      <w:r>
        <w:rPr>
          <w:rFonts w:ascii="Arial" w:hAnsi="Arial" w:eastAsia="Arial" w:cs="Arial"/>
          <w:i w:val="0"/>
          <w:caps w:val="0"/>
          <w:color w:val="00A4FF"/>
          <w:spacing w:val="0"/>
          <w:sz w:val="14"/>
          <w:szCs w:val="14"/>
          <w:u w:val="none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caps w:val="0"/>
          <w:color w:val="00A4FF"/>
          <w:spacing w:val="0"/>
          <w:sz w:val="14"/>
          <w:szCs w:val="14"/>
          <w:u w:val="none"/>
          <w:shd w:val="clear" w:fill="FFFFFF"/>
        </w:rPr>
        <w:instrText xml:space="preserve"> HYPERLINK "https://console.cloud.tencent.com/api/explorer?Product=ocr&amp;Version=2018-11-19&amp;Action=GeneralBasicOCR&amp;SignVersion=" \t "https://cloud.tencent.com/document/product/866/_blank" </w:instrText>
      </w:r>
      <w:r>
        <w:rPr>
          <w:rFonts w:ascii="Arial" w:hAnsi="Arial" w:eastAsia="Arial" w:cs="Arial"/>
          <w:i w:val="0"/>
          <w:caps w:val="0"/>
          <w:color w:val="00A4FF"/>
          <w:spacing w:val="0"/>
          <w:sz w:val="14"/>
          <w:szCs w:val="14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caps w:val="0"/>
          <w:color w:val="00A4FF"/>
          <w:spacing w:val="0"/>
          <w:sz w:val="14"/>
          <w:szCs w:val="14"/>
          <w:u w:val="none"/>
          <w:shd w:val="clear" w:fill="FFFFFF"/>
        </w:rPr>
        <w:t>API 3.0 Explorer 在线接口调试页面</w:t>
      </w:r>
      <w:r>
        <w:rPr>
          <w:rFonts w:hint="default" w:ascii="Arial" w:hAnsi="Arial" w:eastAsia="Arial" w:cs="Arial"/>
          <w:i w:val="0"/>
          <w:caps w:val="0"/>
          <w:color w:val="00A4FF"/>
          <w:spacing w:val="0"/>
          <w:sz w:val="14"/>
          <w:szCs w:val="1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45554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3045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详细要填的参数参考接入文档的【操作步骤】</w:t>
      </w:r>
    </w:p>
    <w:p>
      <w:r>
        <w:drawing>
          <wp:inline distT="0" distB="0" distL="114300" distR="114300">
            <wp:extent cx="5273040" cy="2990215"/>
            <wp:effectExtent l="0" t="0" r="1016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其中我们接入有两种方式，通过图片的 url，通过图片的 base64 编码传入图片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23418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我们可以看到这两种参数接入方式的说明，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60" w:afterAutospacing="0" w:line="14" w:lineRule="atLeast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ImageBase64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是可以自己选择本地图片的，需要先把图片 base64 编码后，作为参数传入即可，我们需要的就是这个方式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60" w:afterAutospacing="0" w:line="14" w:lineRule="atLeast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ImageUrl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如果图片是网络上的们可以传入它的 url作为参数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【个人密匙】点击旁边的查看申请一个即可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我们是通过代码来接入的，所以我们需要安装相应的包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0" w:beforeAutospacing="0" w:after="0" w:afterAutospacing="0" w:line="14" w:lineRule="atLeast"/>
        <w:ind w:lef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4"/>
          <w:szCs w:val="14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2F2F2"/>
        </w:rPr>
        <w:t>pip install tencentcloud-sdk-python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切换到代码生成即是我们的代码，但要想使用本地传入图片识别，需要先把图片编码，在作为参数传入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55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传入后，提取出信息即可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7785" cy="3439160"/>
            <wp:effectExtent l="0" t="0" r="5715" b="254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8710" cy="1790065"/>
            <wp:effectExtent l="0" t="0" r="889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  <w:lang w:val="en-US" w:eastAsia="zh-CN"/>
        </w:rPr>
        <w:drawing>
          <wp:inline distT="0" distB="0" distL="114300" distR="114300">
            <wp:extent cx="1691640" cy="1203960"/>
            <wp:effectExtent l="0" t="0" r="10160" b="254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5110"/>
            <wp:effectExtent l="0" t="0" r="1016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4375" cy="2876550"/>
            <wp:effectExtent l="0" t="0" r="9525" b="635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68650" cy="577850"/>
            <wp:effectExtent l="0" t="0" r="635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848B7"/>
    <w:rsid w:val="028D269D"/>
    <w:rsid w:val="171848B7"/>
    <w:rsid w:val="43262C40"/>
    <w:rsid w:val="584D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2020-01-01T08:07:00Z</dcterms:created>
  <dc:creator>木下瞳</dc:creator>
  <cp:lastModifiedBy>木下瞳</cp:lastModifiedBy>
  <dcterms:modified xsi:type="dcterms:W3CDTF">2020-01-01T09:00:37Z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