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 w:rsidP="00AC57FF">
      <w:pPr>
        <w:pStyle w:val="Standard"/>
        <w:widowControl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AC57FF" w:rsidRDefault="00BD2E54" w:rsidP="00AC57FF">
      <w:pPr>
        <w:pStyle w:val="Standard"/>
        <w:rPr>
          <w:sz w:val="28"/>
          <w:szCs w:val="28"/>
          <w:lang w:val="en-US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="005B635E" w:rsidRPr="009B28E9">
        <w:rPr>
          <w:rFonts w:ascii="Times New Roman" w:hAnsi="Times New Roman" w:cs="Times New Roman"/>
          <w:sz w:val="28"/>
          <w:szCs w:val="28"/>
        </w:rPr>
        <w:t xml:space="preserve"> 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1438F9" w:rsidRDefault="0060690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90761666" w:history="1">
        <w:r w:rsidR="001438F9" w:rsidRPr="00260D33">
          <w:rPr>
            <w:rStyle w:val="ac"/>
            <w:noProof/>
            <w:lang w:val="uk-UA"/>
          </w:rPr>
          <w:t>ВСТУП</w:t>
        </w:r>
        <w:r w:rsidR="001438F9">
          <w:rPr>
            <w:noProof/>
            <w:webHidden/>
          </w:rPr>
          <w:tab/>
        </w:r>
        <w:r w:rsidR="001438F9">
          <w:rPr>
            <w:noProof/>
            <w:webHidden/>
          </w:rPr>
          <w:fldChar w:fldCharType="begin"/>
        </w:r>
        <w:r w:rsidR="001438F9">
          <w:rPr>
            <w:noProof/>
            <w:webHidden/>
          </w:rPr>
          <w:instrText xml:space="preserve"> PAGEREF _Toc390761666 \h </w:instrText>
        </w:r>
        <w:r w:rsidR="001438F9">
          <w:rPr>
            <w:noProof/>
            <w:webHidden/>
          </w:rPr>
        </w:r>
        <w:r w:rsidR="001438F9">
          <w:rPr>
            <w:noProof/>
            <w:webHidden/>
          </w:rPr>
          <w:fldChar w:fldCharType="separate"/>
        </w:r>
        <w:r w:rsidR="001438F9">
          <w:rPr>
            <w:noProof/>
            <w:webHidden/>
          </w:rPr>
          <w:t>4</w:t>
        </w:r>
        <w:r w:rsidR="001438F9"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67" w:history="1">
        <w:r w:rsidRPr="00260D33">
          <w:rPr>
            <w:rStyle w:val="ac"/>
            <w:noProof/>
            <w:lang w:val="uk-UA"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ПІДСТАВА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68" w:history="1">
        <w:r w:rsidRPr="00260D33">
          <w:rPr>
            <w:rStyle w:val="ac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69" w:history="1">
        <w:r w:rsidRPr="00260D33">
          <w:rPr>
            <w:rStyle w:val="ac"/>
            <w:noProof/>
            <w:lang w:val="uk-UA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Функціональне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0" w:history="1">
        <w:r w:rsidRPr="00260D33">
          <w:rPr>
            <w:rStyle w:val="ac"/>
            <w:noProof/>
            <w:lang w:val="uk-UA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Експлуатаційне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1" w:history="1">
        <w:r w:rsidRPr="00260D33">
          <w:rPr>
            <w:rStyle w:val="ac"/>
            <w:noProof/>
            <w:lang w:val="uk-UA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2" w:history="1">
        <w:r w:rsidRPr="00260D33">
          <w:rPr>
            <w:rStyle w:val="ac"/>
            <w:rFonts w:eastAsia="Cambria"/>
            <w:noProof/>
            <w:lang w:val="uk-UA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3" w:history="1">
        <w:r w:rsidRPr="00260D33">
          <w:rPr>
            <w:rStyle w:val="ac"/>
            <w:noProof/>
            <w:lang w:val="uk-UA"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4" w:history="1">
        <w:r w:rsidRPr="00260D33">
          <w:rPr>
            <w:rStyle w:val="ac"/>
            <w:noProof/>
            <w:lang w:val="uk-UA"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Вихідні дані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5" w:history="1">
        <w:r w:rsidRPr="00260D33">
          <w:rPr>
            <w:rStyle w:val="ac"/>
            <w:noProof/>
            <w:lang w:val="uk-UA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6" w:history="1">
        <w:r w:rsidRPr="00260D33">
          <w:rPr>
            <w:rStyle w:val="ac"/>
            <w:noProof/>
            <w:lang w:val="uk-UA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7" w:history="1">
        <w:r w:rsidRPr="00260D33">
          <w:rPr>
            <w:rStyle w:val="ac"/>
            <w:noProof/>
            <w:lang w:val="uk-UA"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8" w:history="1">
        <w:r w:rsidRPr="00260D33">
          <w:rPr>
            <w:rStyle w:val="ac"/>
            <w:noProof/>
            <w:lang w:val="uk-UA"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інформаційної і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79" w:history="1">
        <w:r w:rsidRPr="00260D33">
          <w:rPr>
            <w:rStyle w:val="ac"/>
            <w:noProof/>
            <w:lang w:val="uk-UA"/>
          </w:rPr>
          <w:t>3.7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маркування і упаковки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80" w:history="1">
        <w:r w:rsidRPr="00260D33">
          <w:rPr>
            <w:rStyle w:val="ac"/>
            <w:noProof/>
            <w:lang w:val="uk-UA"/>
          </w:rPr>
          <w:t>3.8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транспортування та зберігання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81" w:history="1">
        <w:r w:rsidRPr="00260D33">
          <w:rPr>
            <w:rStyle w:val="ac"/>
            <w:noProof/>
            <w:lang w:val="uk-UA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82" w:history="1">
        <w:r w:rsidRPr="00260D33">
          <w:rPr>
            <w:rStyle w:val="ac"/>
            <w:noProof/>
            <w:lang w:val="uk-UA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ТЕХНІКО-ЕКОНОМІЧНІ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88" w:history="1">
        <w:r w:rsidRPr="00260D33">
          <w:rPr>
            <w:rStyle w:val="ac"/>
            <w:noProof/>
            <w:lang w:val="uk-UA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Мета економічної частини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89" w:history="1">
        <w:r w:rsidRPr="00260D33">
          <w:rPr>
            <w:rStyle w:val="ac"/>
            <w:rFonts w:eastAsia="MS Minch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rFonts w:eastAsia="MS Mincho"/>
            <w:noProof/>
          </w:rPr>
          <w:t>Калькуляція однієї машино-години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0" w:history="1">
        <w:r w:rsidRPr="00260D33">
          <w:rPr>
            <w:rStyle w:val="ac"/>
            <w:rFonts w:eastAsia="MS Minch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rFonts w:eastAsia="MS Mincho"/>
            <w:noProof/>
          </w:rPr>
          <w:t>Розрахунок вартості машинного часу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1" w:history="1">
        <w:r w:rsidRPr="00260D33">
          <w:rPr>
            <w:rStyle w:val="ac"/>
            <w:rFonts w:eastAsia="MS Minch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rFonts w:eastAsia="MS Mincho"/>
            <w:noProof/>
          </w:rPr>
          <w:t>Розрахунок вартості витратних матеріалів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2" w:history="1">
        <w:r w:rsidRPr="00260D33">
          <w:rPr>
            <w:rStyle w:val="ac"/>
            <w:rFonts w:eastAsia="MS Minch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rFonts w:eastAsia="MS Mincho"/>
            <w:noProof/>
          </w:rPr>
          <w:t>Розрахунок додаткової заробітної плати, вирахувань на соціальне страхування та накладених витрат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3" w:history="1">
        <w:r w:rsidRPr="00260D33">
          <w:rPr>
            <w:rStyle w:val="ac"/>
            <w:noProof/>
            <w:lang w:val="uk-UA"/>
          </w:rPr>
          <w:t>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Розрахунок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4" w:history="1">
        <w:r w:rsidRPr="00260D33">
          <w:rPr>
            <w:rStyle w:val="ac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5" w:history="1">
        <w:r w:rsidRPr="00260D33">
          <w:rPr>
            <w:rStyle w:val="ac"/>
            <w:b/>
            <w:noProof/>
            <w:lang w:val="uk-UA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260D33">
          <w:rPr>
            <w:rStyle w:val="ac"/>
            <w:noProof/>
            <w:lang w:val="uk-UA"/>
          </w:rPr>
          <w:t>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438F9" w:rsidRDefault="001438F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761696" w:history="1">
        <w:r w:rsidRPr="00260D33">
          <w:rPr>
            <w:rStyle w:val="ac"/>
            <w:noProof/>
            <w:lang w:val="uk-UA"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D2E54" w:rsidRPr="00432C8B" w:rsidRDefault="0060690C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1" w:name="_Toc390761666"/>
      <w:r w:rsidRPr="00432C8B">
        <w:rPr>
          <w:lang w:val="uk-UA"/>
        </w:rPr>
        <w:lastRenderedPageBreak/>
        <w:t>ВСТУП</w:t>
      </w:r>
      <w:bookmarkEnd w:id="1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 xml:space="preserve">дає </w:t>
      </w:r>
      <w:proofErr w:type="spellStart"/>
      <w:r w:rsidR="009B28E9">
        <w:rPr>
          <w:sz w:val="28"/>
          <w:szCs w:val="28"/>
          <w:lang w:val="uk-UA"/>
        </w:rPr>
        <w:t>веб-інтерфейс</w:t>
      </w:r>
      <w:proofErr w:type="spellEnd"/>
      <w:r w:rsidRPr="00432C8B">
        <w:rPr>
          <w:sz w:val="28"/>
          <w:szCs w:val="28"/>
          <w:lang w:val="uk-UA"/>
        </w:rPr>
        <w:t xml:space="preserve">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3321F6">
      <w:pPr>
        <w:pStyle w:val="1"/>
        <w:numPr>
          <w:ilvl w:val="0"/>
          <w:numId w:val="24"/>
        </w:numPr>
        <w:tabs>
          <w:tab w:val="left" w:pos="3402"/>
        </w:tabs>
        <w:spacing w:after="240" w:line="360" w:lineRule="auto"/>
        <w:ind w:left="714" w:hanging="357"/>
        <w:rPr>
          <w:b/>
          <w:lang w:val="uk-UA"/>
        </w:rPr>
      </w:pPr>
      <w:bookmarkStart w:id="2" w:name="_Toc390761667"/>
      <w:r w:rsidRPr="00432C8B">
        <w:rPr>
          <w:lang w:val="uk-UA"/>
        </w:rPr>
        <w:lastRenderedPageBreak/>
        <w:t>ПІДСТАВА ДЛЯ РОЗРОБКИ</w:t>
      </w:r>
      <w:bookmarkEnd w:id="2"/>
    </w:p>
    <w:p w:rsidR="00BD2E54" w:rsidRPr="00432C8B" w:rsidRDefault="002728D2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3" w:name="_Toc390761668"/>
      <w:r w:rsidRPr="00432C8B">
        <w:rPr>
          <w:lang w:val="uk-UA"/>
        </w:rPr>
        <w:lastRenderedPageBreak/>
        <w:t>ПРИЗНАЧЕННЯ РОЗРОБКИ</w:t>
      </w:r>
      <w:bookmarkEnd w:id="3"/>
    </w:p>
    <w:p w:rsidR="00262CC0" w:rsidRPr="00432C8B" w:rsidRDefault="00262CC0" w:rsidP="003321F6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4" w:name="_Toc390761669"/>
      <w:r w:rsidRPr="00432C8B">
        <w:rPr>
          <w:lang w:val="uk-UA"/>
        </w:rPr>
        <w:t>Функціональне призначення</w:t>
      </w:r>
      <w:bookmarkEnd w:id="4"/>
    </w:p>
    <w:p w:rsidR="00262CC0" w:rsidRPr="00432C8B" w:rsidRDefault="00262CC0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дозволить</w:t>
      </w:r>
      <w:r w:rsidR="00DF03D0" w:rsidRPr="00223A7D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надавати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5" w:name="_Toc390761670"/>
      <w:r w:rsidRPr="00432C8B">
        <w:rPr>
          <w:lang w:val="uk-UA"/>
        </w:rPr>
        <w:t>Експлуатаційне призначення</w:t>
      </w:r>
      <w:bookmarkEnd w:id="5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6" w:name="_Toc390761671"/>
      <w:r w:rsidRPr="00432C8B">
        <w:rPr>
          <w:lang w:val="uk-UA"/>
        </w:rPr>
        <w:lastRenderedPageBreak/>
        <w:t>ВИМОГИ ДО ПРОГРАМИ</w:t>
      </w:r>
      <w:bookmarkEnd w:id="6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7" w:name="_Toc390761672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7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826E8D">
        <w:rPr>
          <w:sz w:val="28"/>
          <w:szCs w:val="28"/>
          <w:lang w:val="uk-UA"/>
        </w:rPr>
        <w:t>и</w:t>
      </w:r>
      <w:r w:rsidR="00826E8D" w:rsidRPr="00826E8D">
        <w:rPr>
          <w:sz w:val="28"/>
          <w:szCs w:val="28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 xml:space="preserve">декількох різнихграфічних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A05F0D">
      <w:pPr>
        <w:pStyle w:val="3"/>
        <w:numPr>
          <w:ilvl w:val="2"/>
          <w:numId w:val="25"/>
        </w:numPr>
        <w:spacing w:before="240" w:line="360" w:lineRule="auto"/>
        <w:ind w:left="1276" w:hanging="709"/>
        <w:jc w:val="left"/>
        <w:rPr>
          <w:lang w:val="uk-UA"/>
        </w:rPr>
      </w:pPr>
      <w:bookmarkStart w:id="9" w:name="_Toc390761673"/>
      <w:bookmarkEnd w:id="8"/>
      <w:r w:rsidRPr="00432C8B">
        <w:rPr>
          <w:lang w:val="uk-UA"/>
        </w:rPr>
        <w:t>Вхідні дані</w:t>
      </w:r>
      <w:bookmarkEnd w:id="9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A05F0D">
      <w:pPr>
        <w:pStyle w:val="3"/>
        <w:numPr>
          <w:ilvl w:val="2"/>
          <w:numId w:val="25"/>
        </w:numPr>
        <w:spacing w:before="240" w:line="360" w:lineRule="auto"/>
        <w:ind w:left="1276"/>
        <w:jc w:val="left"/>
        <w:rPr>
          <w:lang w:val="uk-UA"/>
        </w:rPr>
      </w:pPr>
      <w:bookmarkStart w:id="10" w:name="_Toc390761674"/>
      <w:r w:rsidRPr="00432C8B">
        <w:rPr>
          <w:lang w:val="uk-UA"/>
        </w:rPr>
        <w:t>Вихідні дані</w:t>
      </w:r>
      <w:bookmarkEnd w:id="10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A05F0D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A05F0D">
      <w:pPr>
        <w:pStyle w:val="Standard"/>
        <w:numPr>
          <w:ilvl w:val="1"/>
          <w:numId w:val="25"/>
        </w:numPr>
        <w:tabs>
          <w:tab w:val="left" w:pos="1134"/>
        </w:tabs>
        <w:spacing w:before="240"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3321F6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1" w:name="_Toc390761675"/>
      <w:r w:rsidRPr="00432C8B">
        <w:rPr>
          <w:lang w:val="uk-UA"/>
        </w:rPr>
        <w:t>Вимоги до надійності</w:t>
      </w:r>
      <w:bookmarkEnd w:id="11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мережевого обладнання повинна забезпечувати час одноразового простою не більш 15 хв., сумарний час на регламентне обслуговування не більш 48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A05F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2" w:name="_Toc390761676"/>
      <w:r w:rsidRPr="00432C8B">
        <w:rPr>
          <w:lang w:val="uk-UA"/>
        </w:rPr>
        <w:t>Умови експлуатації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3321F6">
      <w:pPr>
        <w:pStyle w:val="a5"/>
        <w:numPr>
          <w:ilvl w:val="0"/>
          <w:numId w:val="3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3" w:name="_Toc390761677"/>
      <w:r w:rsidRPr="00432C8B">
        <w:rPr>
          <w:lang w:val="uk-UA"/>
        </w:rPr>
        <w:t>Вимоги до складу і параметрів технічних засобів</w:t>
      </w:r>
      <w:bookmarkEnd w:id="13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4" w:name="_Toc390761678"/>
      <w:r w:rsidRPr="00432C8B">
        <w:rPr>
          <w:lang w:val="uk-UA"/>
        </w:rPr>
        <w:t>Вимоги до інформаційної і програмної сумісності</w:t>
      </w:r>
      <w:bookmarkEnd w:id="14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сервлет-контейнер</w:t>
      </w:r>
      <w:proofErr w:type="spellEnd"/>
      <w:r w:rsidR="008F1DF4" w:rsidRPr="00F3423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ApacheTomcat</w:t>
      </w:r>
      <w:proofErr w:type="spellEnd"/>
      <w:r w:rsidRPr="00432C8B">
        <w:rPr>
          <w:sz w:val="28"/>
          <w:szCs w:val="28"/>
          <w:lang w:val="uk-UA"/>
        </w:rPr>
        <w:t xml:space="preserve"> 7 (або сум</w:t>
      </w:r>
      <w:r w:rsidR="00FE20E6" w:rsidRPr="00432C8B">
        <w:rPr>
          <w:sz w:val="28"/>
          <w:szCs w:val="28"/>
          <w:lang w:val="uk-UA"/>
        </w:rPr>
        <w:t xml:space="preserve">існий) та </w:t>
      </w:r>
      <w:proofErr w:type="spellStart"/>
      <w:r w:rsidR="00FE20E6" w:rsidRPr="00432C8B">
        <w:rPr>
          <w:sz w:val="28"/>
          <w:szCs w:val="28"/>
          <w:lang w:val="uk-UA"/>
        </w:rPr>
        <w:t>Java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Development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Kit</w:t>
      </w:r>
      <w:proofErr w:type="spellEnd"/>
      <w:r w:rsidR="00FE20E6" w:rsidRPr="00432C8B">
        <w:rPr>
          <w:sz w:val="28"/>
          <w:szCs w:val="28"/>
          <w:lang w:val="uk-UA"/>
        </w:rPr>
        <w:t xml:space="preserve">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5" w:name="_Toc390761679"/>
      <w:r w:rsidRPr="00432C8B">
        <w:rPr>
          <w:lang w:val="uk-UA"/>
        </w:rPr>
        <w:t>Вимоги до маркування і упаковки</w:t>
      </w:r>
      <w:bookmarkEnd w:id="15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«КІТ»,ДІІТ,2014р.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6" w:name="_Toc390761680"/>
      <w:r w:rsidRPr="00432C8B">
        <w:rPr>
          <w:lang w:val="uk-UA"/>
        </w:rPr>
        <w:t>Вимоги до транспортування та зберігання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несанкціонованогодоступу до нього. Транспортування повинно проводитися довіреною особою. При транспортуванні повинен відслідк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90761681"/>
      <w:r w:rsidRPr="00432C8B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795358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795358" w:rsidRDefault="00FD3FB5" w:rsidP="00795358">
      <w:pPr>
        <w:pStyle w:val="a5"/>
        <w:numPr>
          <w:ilvl w:val="0"/>
          <w:numId w:val="40"/>
        </w:numPr>
        <w:spacing w:line="360" w:lineRule="auto"/>
        <w:ind w:left="1276" w:hanging="284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т</w:t>
      </w:r>
      <w:r w:rsidR="002728D2" w:rsidRPr="00795358">
        <w:rPr>
          <w:sz w:val="28"/>
          <w:szCs w:val="28"/>
          <w:lang w:val="uk-UA"/>
        </w:rPr>
        <w:t>ехнічне завдання;</w:t>
      </w:r>
    </w:p>
    <w:p w:rsidR="00BD2E54" w:rsidRPr="00795358" w:rsidRDefault="00FD3FB5" w:rsidP="00795358">
      <w:pPr>
        <w:pStyle w:val="a5"/>
        <w:numPr>
          <w:ilvl w:val="0"/>
          <w:numId w:val="40"/>
        </w:numPr>
        <w:spacing w:line="360" w:lineRule="auto"/>
        <w:ind w:left="1276" w:hanging="284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с</w:t>
      </w:r>
      <w:r w:rsidR="002728D2" w:rsidRPr="00795358">
        <w:rPr>
          <w:sz w:val="28"/>
          <w:szCs w:val="28"/>
          <w:lang w:val="uk-UA"/>
        </w:rPr>
        <w:t>пец</w:t>
      </w:r>
      <w:r w:rsidR="00B405AC" w:rsidRPr="00795358">
        <w:rPr>
          <w:sz w:val="28"/>
          <w:szCs w:val="28"/>
          <w:lang w:val="uk-UA"/>
        </w:rPr>
        <w:t>и</w:t>
      </w:r>
      <w:r w:rsidR="002728D2" w:rsidRPr="00795358">
        <w:rPr>
          <w:sz w:val="28"/>
          <w:szCs w:val="28"/>
          <w:lang w:val="uk-UA"/>
        </w:rPr>
        <w:t>фікація;</w:t>
      </w:r>
    </w:p>
    <w:p w:rsidR="00BD2E54" w:rsidRPr="00795358" w:rsidRDefault="00FD3FB5" w:rsidP="00795358">
      <w:pPr>
        <w:pStyle w:val="a5"/>
        <w:numPr>
          <w:ilvl w:val="0"/>
          <w:numId w:val="40"/>
        </w:numPr>
        <w:spacing w:line="360" w:lineRule="auto"/>
        <w:ind w:left="1276" w:hanging="284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т</w:t>
      </w:r>
      <w:r w:rsidR="002728D2" w:rsidRPr="00795358">
        <w:rPr>
          <w:sz w:val="28"/>
          <w:szCs w:val="28"/>
          <w:lang w:val="uk-UA"/>
        </w:rPr>
        <w:t>екст програми;</w:t>
      </w:r>
    </w:p>
    <w:p w:rsidR="00BD2E54" w:rsidRPr="00795358" w:rsidRDefault="00FD3FB5" w:rsidP="00795358">
      <w:pPr>
        <w:pStyle w:val="a5"/>
        <w:numPr>
          <w:ilvl w:val="0"/>
          <w:numId w:val="40"/>
        </w:numPr>
        <w:spacing w:line="360" w:lineRule="auto"/>
        <w:ind w:left="1276" w:hanging="284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о</w:t>
      </w:r>
      <w:r w:rsidR="002728D2" w:rsidRPr="00795358">
        <w:rPr>
          <w:sz w:val="28"/>
          <w:szCs w:val="28"/>
          <w:lang w:val="uk-UA"/>
        </w:rPr>
        <w:t>пис програми;</w:t>
      </w:r>
    </w:p>
    <w:p w:rsidR="00BD2E54" w:rsidRPr="00795358" w:rsidRDefault="00FD3FB5" w:rsidP="00795358">
      <w:pPr>
        <w:pStyle w:val="a5"/>
        <w:numPr>
          <w:ilvl w:val="0"/>
          <w:numId w:val="40"/>
        </w:numPr>
        <w:spacing w:line="360" w:lineRule="auto"/>
        <w:ind w:left="1276" w:hanging="284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к</w:t>
      </w:r>
      <w:r w:rsidR="002728D2" w:rsidRPr="00795358">
        <w:rPr>
          <w:sz w:val="28"/>
          <w:szCs w:val="28"/>
          <w:lang w:val="uk-UA"/>
        </w:rPr>
        <w:t xml:space="preserve">ерівництво </w:t>
      </w:r>
      <w:r w:rsidR="00C65917" w:rsidRPr="00795358">
        <w:rPr>
          <w:sz w:val="28"/>
          <w:szCs w:val="28"/>
          <w:lang w:val="uk-UA"/>
        </w:rPr>
        <w:t>користувача</w:t>
      </w:r>
      <w:r w:rsidR="001E602A" w:rsidRPr="00795358">
        <w:rPr>
          <w:sz w:val="28"/>
          <w:szCs w:val="28"/>
          <w:lang w:val="uk-UA"/>
        </w:rPr>
        <w:t>.</w:t>
      </w:r>
      <w:r w:rsidR="00795358" w:rsidRPr="00795358">
        <w:rPr>
          <w:sz w:val="28"/>
          <w:szCs w:val="28"/>
          <w:lang w:val="uk-UA"/>
        </w:rPr>
        <w:t xml:space="preserve"> </w:t>
      </w:r>
      <w:r w:rsidR="009F149B" w:rsidRPr="008F6E17">
        <w:rPr>
          <w:sz w:val="28"/>
          <w:szCs w:val="28"/>
          <w:lang w:val="uk-UA"/>
        </w:rPr>
        <w:t>Керівництво пр</w:t>
      </w:r>
      <w:r w:rsidR="009F149B">
        <w:rPr>
          <w:sz w:val="28"/>
          <w:szCs w:val="28"/>
          <w:lang w:val="uk-UA"/>
        </w:rPr>
        <w:t>ацівника локомотивного госп</w:t>
      </w:r>
      <w:r w:rsidR="009F149B">
        <w:rPr>
          <w:sz w:val="28"/>
          <w:szCs w:val="28"/>
          <w:lang w:val="uk-UA"/>
        </w:rPr>
        <w:t>о</w:t>
      </w:r>
      <w:r w:rsidR="009F149B">
        <w:rPr>
          <w:sz w:val="28"/>
          <w:szCs w:val="28"/>
          <w:lang w:val="uk-UA"/>
        </w:rPr>
        <w:t>дарства</w:t>
      </w:r>
      <w:r w:rsidR="00795358" w:rsidRPr="00795358">
        <w:rPr>
          <w:sz w:val="28"/>
          <w:szCs w:val="28"/>
          <w:lang w:val="uk-UA"/>
        </w:rPr>
        <w:t>.</w:t>
      </w:r>
    </w:p>
    <w:p w:rsidR="00BD2E54" w:rsidRPr="00795358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95358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3321F6">
      <w:pPr>
        <w:pStyle w:val="1"/>
        <w:pageBreakBefore/>
        <w:numPr>
          <w:ilvl w:val="0"/>
          <w:numId w:val="25"/>
        </w:numPr>
        <w:suppressAutoHyphens/>
        <w:spacing w:after="240" w:line="360" w:lineRule="auto"/>
        <w:ind w:left="374" w:hanging="374"/>
        <w:rPr>
          <w:lang w:val="uk-UA"/>
        </w:rPr>
      </w:pPr>
      <w:bookmarkStart w:id="18" w:name="_Toc390761682"/>
      <w:r w:rsidRPr="00432C8B">
        <w:rPr>
          <w:lang w:val="uk-UA"/>
        </w:rPr>
        <w:lastRenderedPageBreak/>
        <w:t>ТЕХНІКО-ЕКОНОМІЧНІ ПОКАЗНИКИ</w:t>
      </w:r>
      <w:bookmarkEnd w:id="18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9" w:name="_Toc390174835"/>
      <w:bookmarkStart w:id="20" w:name="_Toc390341234"/>
      <w:bookmarkStart w:id="21" w:name="_Toc390341648"/>
      <w:bookmarkStart w:id="22" w:name="_Toc390342046"/>
      <w:bookmarkStart w:id="23" w:name="_Toc321586794"/>
      <w:bookmarkStart w:id="24" w:name="_Toc359356287"/>
      <w:bookmarkStart w:id="25" w:name="_Toc390761683"/>
      <w:bookmarkEnd w:id="19"/>
      <w:bookmarkEnd w:id="20"/>
      <w:bookmarkEnd w:id="21"/>
      <w:bookmarkEnd w:id="22"/>
      <w:bookmarkEnd w:id="25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6" w:name="_Toc390174836"/>
      <w:bookmarkStart w:id="27" w:name="_Toc390341235"/>
      <w:bookmarkStart w:id="28" w:name="_Toc390341649"/>
      <w:bookmarkStart w:id="29" w:name="_Toc390342047"/>
      <w:bookmarkStart w:id="30" w:name="_Toc390761684"/>
      <w:bookmarkEnd w:id="26"/>
      <w:bookmarkEnd w:id="27"/>
      <w:bookmarkEnd w:id="28"/>
      <w:bookmarkEnd w:id="29"/>
      <w:bookmarkEnd w:id="30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1" w:name="_Toc390174837"/>
      <w:bookmarkStart w:id="32" w:name="_Toc390341236"/>
      <w:bookmarkStart w:id="33" w:name="_Toc390341650"/>
      <w:bookmarkStart w:id="34" w:name="_Toc390342048"/>
      <w:bookmarkStart w:id="35" w:name="_Toc390761685"/>
      <w:bookmarkEnd w:id="31"/>
      <w:bookmarkEnd w:id="32"/>
      <w:bookmarkEnd w:id="33"/>
      <w:bookmarkEnd w:id="34"/>
      <w:bookmarkEnd w:id="35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6" w:name="_Toc390174838"/>
      <w:bookmarkStart w:id="37" w:name="_Toc390341237"/>
      <w:bookmarkStart w:id="38" w:name="_Toc390341651"/>
      <w:bookmarkStart w:id="39" w:name="_Toc390342049"/>
      <w:bookmarkStart w:id="40" w:name="_Toc390761686"/>
      <w:bookmarkEnd w:id="36"/>
      <w:bookmarkEnd w:id="37"/>
      <w:bookmarkEnd w:id="38"/>
      <w:bookmarkEnd w:id="39"/>
      <w:bookmarkEnd w:id="40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41" w:name="_Toc390174839"/>
      <w:bookmarkStart w:id="42" w:name="_Toc390341238"/>
      <w:bookmarkStart w:id="43" w:name="_Toc390341652"/>
      <w:bookmarkStart w:id="44" w:name="_Toc390342050"/>
      <w:bookmarkStart w:id="45" w:name="_Toc390761687"/>
      <w:bookmarkEnd w:id="41"/>
      <w:bookmarkEnd w:id="42"/>
      <w:bookmarkEnd w:id="43"/>
      <w:bookmarkEnd w:id="44"/>
      <w:bookmarkEnd w:id="45"/>
    </w:p>
    <w:p w:rsidR="00432C8B" w:rsidRPr="00BA1C38" w:rsidRDefault="00432C8B" w:rsidP="00B22EEF">
      <w:pPr>
        <w:pStyle w:val="2"/>
        <w:tabs>
          <w:tab w:val="clear" w:pos="576"/>
          <w:tab w:val="num" w:pos="993"/>
        </w:tabs>
        <w:spacing w:line="360" w:lineRule="auto"/>
        <w:ind w:left="578" w:hanging="11"/>
        <w:jc w:val="left"/>
        <w:rPr>
          <w:lang w:val="uk-UA"/>
        </w:rPr>
      </w:pPr>
      <w:bookmarkStart w:id="46" w:name="_Toc390761688"/>
      <w:r w:rsidRPr="00BA1C38">
        <w:rPr>
          <w:lang w:val="uk-UA"/>
        </w:rPr>
        <w:t xml:space="preserve">Мета економічної </w:t>
      </w:r>
      <w:bookmarkEnd w:id="23"/>
      <w:r w:rsidRPr="00BA1C38">
        <w:rPr>
          <w:lang w:val="uk-UA"/>
        </w:rPr>
        <w:t>частини</w:t>
      </w:r>
      <w:bookmarkEnd w:id="24"/>
      <w:bookmarkEnd w:id="46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DC7940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DC7940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</w:rPr>
      </w:pPr>
      <w:bookmarkStart w:id="47" w:name="_Toc390761689"/>
      <w:proofErr w:type="spellStart"/>
      <w:r w:rsidRPr="00432C8B">
        <w:rPr>
          <w:rFonts w:eastAsia="MS Mincho"/>
        </w:rPr>
        <w:t>Калькуляція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однієї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машино-години</w:t>
      </w:r>
      <w:bookmarkEnd w:id="47"/>
      <w:proofErr w:type="spellEnd"/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0.01*3300=33грн.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5300*0.5=2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+33+2650=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480*0.25=120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66+576+212.54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+24=</w:t>
      </w:r>
      <w:r w:rsidRPr="005148EB">
        <w:rPr>
          <w:rFonts w:eastAsia="MS Mincho"/>
          <w:sz w:val="28"/>
          <w:szCs w:val="28"/>
          <w:lang w:val="uk-UA"/>
        </w:rPr>
        <w:t>4351,54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794B">
      <w:pPr>
        <w:pStyle w:val="3"/>
        <w:tabs>
          <w:tab w:val="clear" w:pos="720"/>
          <w:tab w:val="left" w:pos="851"/>
          <w:tab w:val="left" w:pos="1276"/>
        </w:tabs>
        <w:spacing w:before="240" w:line="360" w:lineRule="auto"/>
        <w:ind w:left="567" w:firstLine="0"/>
        <w:jc w:val="left"/>
        <w:rPr>
          <w:rFonts w:eastAsia="MS Mincho"/>
          <w:szCs w:val="28"/>
        </w:rPr>
      </w:pPr>
      <w:bookmarkStart w:id="48" w:name="_Toc390761690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машинного часу</w:t>
      </w:r>
      <w:bookmarkEnd w:id="48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DC7940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DC7940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DC7940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DC7940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49" w:name="_Toc390761691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витратних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proofErr w:type="gramStart"/>
      <w:r w:rsidRPr="00432C8B">
        <w:rPr>
          <w:rFonts w:eastAsia="MS Mincho"/>
          <w:szCs w:val="28"/>
        </w:rPr>
        <w:t>матер</w:t>
      </w:r>
      <w:proofErr w:type="gramEnd"/>
      <w:r w:rsidRPr="00432C8B">
        <w:rPr>
          <w:rFonts w:eastAsia="MS Mincho"/>
          <w:szCs w:val="28"/>
        </w:rPr>
        <w:t>іалів</w:t>
      </w:r>
      <w:bookmarkEnd w:id="49"/>
      <w:proofErr w:type="spellEnd"/>
    </w:p>
    <w:p w:rsidR="00432C8B" w:rsidRPr="007F55E5" w:rsidRDefault="00432C8B" w:rsidP="002C60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50" w:name="_Toc390761692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додаткової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заробітної</w:t>
      </w:r>
      <w:proofErr w:type="spellEnd"/>
      <w:r w:rsidRPr="00432C8B">
        <w:rPr>
          <w:rFonts w:eastAsia="MS Mincho"/>
          <w:szCs w:val="28"/>
        </w:rPr>
        <w:t xml:space="preserve"> плати, вирахувань на </w:t>
      </w:r>
      <w:proofErr w:type="gramStart"/>
      <w:r w:rsidRPr="00432C8B">
        <w:rPr>
          <w:rFonts w:eastAsia="MS Mincho"/>
          <w:szCs w:val="28"/>
        </w:rPr>
        <w:t>соц</w:t>
      </w:r>
      <w:proofErr w:type="gramEnd"/>
      <w:r w:rsidRPr="00432C8B">
        <w:rPr>
          <w:rFonts w:eastAsia="MS Mincho"/>
          <w:szCs w:val="28"/>
        </w:rPr>
        <w:t>іальне страхування та накладених витрат</w:t>
      </w:r>
      <w:bookmarkEnd w:id="50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7074FE" w:rsidRDefault="00DC7940" w:rsidP="002C602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szCs w:val="28"/>
          <w:lang w:val="uk-UA"/>
        </w:rPr>
      </w:pPr>
      <w:bookmarkStart w:id="51" w:name="_Toc390761693"/>
      <w:r w:rsidRPr="00432C8B">
        <w:rPr>
          <w:szCs w:val="28"/>
          <w:lang w:val="uk-UA"/>
        </w:rPr>
        <w:t>Розрахунок</w:t>
      </w:r>
      <w:bookmarkEnd w:id="51"/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DC7940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432C8B" w:rsidRPr="00432C8B" w:rsidRDefault="00DC7940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DC7940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=293+1458=1751(грн)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1C38" w:rsidRPr="00BA1C38" w:rsidRDefault="002728D2" w:rsidP="00BA1C38">
      <w:pPr>
        <w:pStyle w:val="1"/>
        <w:spacing w:after="240"/>
        <w:ind w:left="431" w:hanging="431"/>
        <w:rPr>
          <w:lang w:val="en-US"/>
        </w:rPr>
      </w:pPr>
      <w:bookmarkStart w:id="52" w:name="_Toc390761694"/>
      <w:r w:rsidRPr="00432C8B">
        <w:rPr>
          <w:lang w:val="uk-UA"/>
        </w:rPr>
        <w:lastRenderedPageBreak/>
        <w:t xml:space="preserve">СТАДІЇ </w:t>
      </w:r>
      <w:r w:rsidR="00523F84" w:rsidRPr="00432C8B">
        <w:rPr>
          <w:lang w:val="uk-UA"/>
        </w:rPr>
        <w:t>ТА</w:t>
      </w:r>
      <w:r w:rsidRPr="00432C8B">
        <w:rPr>
          <w:lang w:val="uk-UA"/>
        </w:rPr>
        <w:t xml:space="preserve"> ЕТАПИ РОЗРОБКИ</w:t>
      </w:r>
      <w:bookmarkEnd w:id="52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BA1C38">
      <w:pPr>
        <w:pStyle w:val="1"/>
        <w:spacing w:after="240"/>
        <w:ind w:left="431" w:hanging="431"/>
        <w:rPr>
          <w:b/>
          <w:lang w:val="uk-UA"/>
        </w:rPr>
      </w:pPr>
      <w:bookmarkStart w:id="53" w:name="_Toc390761695"/>
      <w:r w:rsidRPr="00432C8B">
        <w:rPr>
          <w:lang w:val="uk-UA"/>
        </w:rPr>
        <w:lastRenderedPageBreak/>
        <w:t>ПОРЯДОК КОНТРОЛЮ І ПРИЙМАННЯ</w:t>
      </w:r>
      <w:bookmarkEnd w:id="53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54" w:name="_Toc390761696"/>
      <w:r w:rsidRPr="00432C8B">
        <w:rPr>
          <w:lang w:val="uk-UA"/>
        </w:rPr>
        <w:lastRenderedPageBreak/>
        <w:t>ЛІТЕРАТУРА</w:t>
      </w:r>
      <w:bookmarkEnd w:id="54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підприємства/А.</w:t>
      </w:r>
      <w:proofErr w:type="spellStart"/>
      <w:r w:rsidR="00CE004D">
        <w:rPr>
          <w:szCs w:val="28"/>
        </w:rPr>
        <w:t>В</w:t>
      </w:r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>Т.М. Литвиненко, М.П. Н</w:t>
      </w:r>
      <w:r w:rsidR="00CE004D" w:rsidRPr="00CE004D">
        <w:rPr>
          <w:szCs w:val="28"/>
        </w:rPr>
        <w:t>а</w:t>
      </w:r>
      <w:r w:rsidR="00CE004D" w:rsidRPr="00CE004D">
        <w:rPr>
          <w:szCs w:val="28"/>
        </w:rPr>
        <w:t xml:space="preserve">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940" w:rsidRDefault="00DC7940" w:rsidP="00BD2E54">
      <w:r>
        <w:separator/>
      </w:r>
    </w:p>
  </w:endnote>
  <w:endnote w:type="continuationSeparator" w:id="0">
    <w:p w:rsidR="00DC7940" w:rsidRDefault="00DC7940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940" w:rsidRDefault="00DC7940" w:rsidP="00BD2E54">
      <w:r w:rsidRPr="00BD2E54">
        <w:rPr>
          <w:color w:val="000000"/>
        </w:rPr>
        <w:separator/>
      </w:r>
    </w:p>
  </w:footnote>
  <w:footnote w:type="continuationSeparator" w:id="0">
    <w:p w:rsidR="00DC7940" w:rsidRDefault="00DC7940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8E9" w:rsidRPr="00482E2F" w:rsidRDefault="00DC7940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9B28E9" w:rsidRDefault="009B28E9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9B28E9" w:rsidRPr="00262CC0" w:rsidRDefault="009B28E9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9B28E9" w:rsidRDefault="009B28E9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9B28E9" w:rsidRPr="0088654D" w:rsidRDefault="009B28E9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9B28E9" w:rsidRPr="0088654D" w:rsidRDefault="009B28E9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9B28E9" w:rsidRPr="008E6E62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9B28E9" w:rsidRPr="005514E5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9B28E9" w:rsidRPr="00262CC0" w:rsidRDefault="009B28E9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9B28E9" w:rsidRPr="00262CC0" w:rsidRDefault="009B28E9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9B28E9" w:rsidRDefault="009B28E9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9B28E9" w:rsidRDefault="009B28E9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9B28E9" w:rsidRPr="005514E5" w:rsidRDefault="009B28E9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9B28E9" w:rsidRPr="004D018D" w:rsidRDefault="009B28E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1438F9">
                    <w:rPr>
                      <w:rStyle w:val="ab"/>
                      <w:noProof/>
                      <w:sz w:val="28"/>
                      <w:szCs w:val="28"/>
                    </w:rPr>
                    <w:t>14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9B28E9" w:rsidRDefault="009B28E9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9B28E9" w:rsidRPr="00EB260B" w:rsidRDefault="009B28E9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9B28E9" w:rsidRPr="00976C46" w:rsidRDefault="009B28E9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9B28E9" w:rsidRDefault="009B28E9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8E9" w:rsidRDefault="009B28E9">
    <w:pPr>
      <w:pStyle w:val="12"/>
      <w:jc w:val="center"/>
    </w:pPr>
  </w:p>
  <w:p w:rsidR="009B28E9" w:rsidRDefault="009B28E9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4443F"/>
    <w:rsid w:val="00044795"/>
    <w:rsid w:val="00073117"/>
    <w:rsid w:val="00082D68"/>
    <w:rsid w:val="00090D8A"/>
    <w:rsid w:val="000A3965"/>
    <w:rsid w:val="000C2EA2"/>
    <w:rsid w:val="000E1B45"/>
    <w:rsid w:val="000E22D2"/>
    <w:rsid w:val="001438F9"/>
    <w:rsid w:val="00152A68"/>
    <w:rsid w:val="00171404"/>
    <w:rsid w:val="00185B7F"/>
    <w:rsid w:val="001A2033"/>
    <w:rsid w:val="001C03A4"/>
    <w:rsid w:val="001D32D8"/>
    <w:rsid w:val="001E602A"/>
    <w:rsid w:val="00210ECD"/>
    <w:rsid w:val="00217DE1"/>
    <w:rsid w:val="00223A7D"/>
    <w:rsid w:val="002405E2"/>
    <w:rsid w:val="00244A73"/>
    <w:rsid w:val="00262CC0"/>
    <w:rsid w:val="00265304"/>
    <w:rsid w:val="002728D2"/>
    <w:rsid w:val="002A2553"/>
    <w:rsid w:val="002A5339"/>
    <w:rsid w:val="002C278D"/>
    <w:rsid w:val="002C36FD"/>
    <w:rsid w:val="002C6020"/>
    <w:rsid w:val="002E7EAF"/>
    <w:rsid w:val="002F0B50"/>
    <w:rsid w:val="002F71A3"/>
    <w:rsid w:val="00306016"/>
    <w:rsid w:val="00322580"/>
    <w:rsid w:val="00327414"/>
    <w:rsid w:val="003321F6"/>
    <w:rsid w:val="00332E7A"/>
    <w:rsid w:val="00362D7D"/>
    <w:rsid w:val="00397E2C"/>
    <w:rsid w:val="003B3163"/>
    <w:rsid w:val="00432C8B"/>
    <w:rsid w:val="00434DFC"/>
    <w:rsid w:val="0043794B"/>
    <w:rsid w:val="004465E4"/>
    <w:rsid w:val="00452977"/>
    <w:rsid w:val="004607AF"/>
    <w:rsid w:val="0046084D"/>
    <w:rsid w:val="00477595"/>
    <w:rsid w:val="00482E2F"/>
    <w:rsid w:val="004A558B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35E"/>
    <w:rsid w:val="005B690E"/>
    <w:rsid w:val="005C446A"/>
    <w:rsid w:val="005D7DC7"/>
    <w:rsid w:val="005E168F"/>
    <w:rsid w:val="005E1C13"/>
    <w:rsid w:val="006000B2"/>
    <w:rsid w:val="006042D2"/>
    <w:rsid w:val="0060690C"/>
    <w:rsid w:val="006211B9"/>
    <w:rsid w:val="00622020"/>
    <w:rsid w:val="00696674"/>
    <w:rsid w:val="006C33CE"/>
    <w:rsid w:val="006E1045"/>
    <w:rsid w:val="006E356D"/>
    <w:rsid w:val="006E779C"/>
    <w:rsid w:val="007074FE"/>
    <w:rsid w:val="00733BE4"/>
    <w:rsid w:val="007361D6"/>
    <w:rsid w:val="00740BEC"/>
    <w:rsid w:val="0075157C"/>
    <w:rsid w:val="00761FA7"/>
    <w:rsid w:val="0076694B"/>
    <w:rsid w:val="00777B59"/>
    <w:rsid w:val="00785517"/>
    <w:rsid w:val="00795358"/>
    <w:rsid w:val="007A2229"/>
    <w:rsid w:val="007A7EDE"/>
    <w:rsid w:val="007B342D"/>
    <w:rsid w:val="007D398B"/>
    <w:rsid w:val="007E42B3"/>
    <w:rsid w:val="007F55E5"/>
    <w:rsid w:val="00807C5B"/>
    <w:rsid w:val="00823904"/>
    <w:rsid w:val="00826E8D"/>
    <w:rsid w:val="008271B6"/>
    <w:rsid w:val="00832C69"/>
    <w:rsid w:val="00845317"/>
    <w:rsid w:val="008632C0"/>
    <w:rsid w:val="008A7E04"/>
    <w:rsid w:val="008E2D65"/>
    <w:rsid w:val="008F1DF4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B28E9"/>
    <w:rsid w:val="009D1E2A"/>
    <w:rsid w:val="009E03A3"/>
    <w:rsid w:val="009F0AAB"/>
    <w:rsid w:val="009F149B"/>
    <w:rsid w:val="00A05F0D"/>
    <w:rsid w:val="00A10F97"/>
    <w:rsid w:val="00A1369E"/>
    <w:rsid w:val="00A166A2"/>
    <w:rsid w:val="00A864D9"/>
    <w:rsid w:val="00A867C6"/>
    <w:rsid w:val="00AC0CEF"/>
    <w:rsid w:val="00AC57FF"/>
    <w:rsid w:val="00AE3AC4"/>
    <w:rsid w:val="00B00E64"/>
    <w:rsid w:val="00B14A03"/>
    <w:rsid w:val="00B22EEF"/>
    <w:rsid w:val="00B325C2"/>
    <w:rsid w:val="00B3645B"/>
    <w:rsid w:val="00B405AC"/>
    <w:rsid w:val="00B50EEB"/>
    <w:rsid w:val="00B64ACC"/>
    <w:rsid w:val="00B82C77"/>
    <w:rsid w:val="00BA1C38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C7940"/>
    <w:rsid w:val="00DD7E66"/>
    <w:rsid w:val="00DF03D0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4CD5"/>
    <w:rsid w:val="00F167D2"/>
    <w:rsid w:val="00F30329"/>
    <w:rsid w:val="00F3316C"/>
    <w:rsid w:val="00F3423D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4A558B"/>
    <w:pPr>
      <w:tabs>
        <w:tab w:val="left" w:pos="709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4A558B"/>
    <w:pPr>
      <w:tabs>
        <w:tab w:val="left" w:pos="1418"/>
        <w:tab w:val="left" w:pos="1701"/>
        <w:tab w:val="right" w:leader="dot" w:pos="10055"/>
      </w:tabs>
      <w:spacing w:after="100"/>
      <w:ind w:left="709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01780-688C-470C-84E9-E6AF3259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21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56</cp:revision>
  <cp:lastPrinted>2014-04-02T20:20:00Z</cp:lastPrinted>
  <dcterms:created xsi:type="dcterms:W3CDTF">2014-04-10T12:16:00Z</dcterms:created>
  <dcterms:modified xsi:type="dcterms:W3CDTF">2014-06-17T06:46:00Z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