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67EEA"/>
          <w:sz w:val="56"/>
        </w:rPr>
        <w:t>АНАЛИТИКА КЛИЕНТОВ</w:t>
        <w:br/>
        <w:t>И ГРУПП ТОВАРОВ</w:t>
      </w:r>
    </w:p>
    <w:p/>
    <w:p>
      <w:pPr>
        <w:jc w:val="center"/>
      </w:pPr>
      <w:r>
        <w:rPr>
          <w:color w:val="646464"/>
          <w:sz w:val="32"/>
        </w:rPr>
        <w:t>Методология расчётов и описание визуализаций</w:t>
      </w:r>
    </w:p>
    <w:p/>
    <w:p/>
    <w:p>
      <w:pPr>
        <w:jc w:val="center"/>
      </w:pPr>
      <w:r>
        <w:rPr>
          <w:color w:val="787878"/>
          <w:sz w:val="24"/>
        </w:rPr>
        <w:t>Период данных: 2023-2025</w:t>
        <w:br/>
        <w:t>Количество графиков: 8</w:t>
        <w:br/>
        <w:t>Интерактивный дашборд: customer_analytics_report.html</w:t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СОДЕРЖАНИЕ</w:t>
      </w:r>
    </w:p>
    <w:p/>
    <w:p>
      <w:r>
        <w:t>1. Введение</w:t>
      </w:r>
      <w:r>
        <w:t>.................................................</w:t>
      </w:r>
      <w:r>
        <w:t>3</w:t>
      </w:r>
    </w:p>
    <w:p>
      <w:r>
        <w:t>2. Источники данных</w:t>
      </w:r>
      <w:r>
        <w:t>.........................................</w:t>
      </w:r>
      <w:r>
        <w:t>3</w:t>
      </w:r>
    </w:p>
    <w:p>
      <w:r>
        <w:t>3. График 1: Динамика статусов клиентов</w:t>
      </w:r>
      <w:r>
        <w:t>.....................</w:t>
      </w:r>
      <w:r>
        <w:t>4</w:t>
      </w:r>
    </w:p>
    <w:p>
      <w:r>
        <w:t>4. График 2: RFM-кластеры по годам</w:t>
      </w:r>
      <w:r>
        <w:t>..........................</w:t>
      </w:r>
      <w:r>
        <w:t>6</w:t>
      </w:r>
    </w:p>
    <w:p>
      <w:r>
        <w:t>5. График 3: Профили RFM-кластеров (Radar)</w:t>
      </w:r>
      <w:r>
        <w:t>..................</w:t>
      </w:r>
      <w:r>
        <w:t>8</w:t>
      </w:r>
    </w:p>
    <w:p>
      <w:r>
        <w:t>6. График 4: Миграция клиентов (Sankey)</w:t>
      </w:r>
      <w:r>
        <w:t>.....................</w:t>
      </w:r>
      <w:r>
        <w:t>10</w:t>
      </w:r>
    </w:p>
    <w:p>
      <w:r>
        <w:t>7. График 5: Выручка по группам товаров</w:t>
      </w:r>
      <w:r>
        <w:t>.....................</w:t>
      </w:r>
      <w:r>
        <w:t>12</w:t>
      </w:r>
    </w:p>
    <w:p>
      <w:r>
        <w:t>8. График 6: Сезонность групп товаров</w:t>
      </w:r>
      <w:r>
        <w:t>.......................</w:t>
      </w:r>
      <w:r>
        <w:t>13</w:t>
      </w:r>
    </w:p>
    <w:p>
      <w:r>
        <w:t>9. График 7: Динамика выручки по годам</w:t>
      </w:r>
      <w:r>
        <w:t>......................</w:t>
      </w:r>
      <w:r>
        <w:t>14</w:t>
      </w:r>
    </w:p>
    <w:p>
      <w:r>
        <w:t>10. График 8: Сравнение новых и постоянных клиентов</w:t>
      </w:r>
      <w:r>
        <w:t>.........</w:t>
      </w:r>
      <w:r>
        <w:t>15</w:t>
      </w:r>
    </w:p>
    <w:p>
      <w:r>
        <w:t>11. Глоссарий терминов</w:t>
      </w:r>
      <w:r>
        <w:t>......................................</w:t>
      </w:r>
      <w:r>
        <w:t>16</w:t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1. ВВЕДЕНИЕ</w:t>
      </w:r>
    </w:p>
    <w:p/>
    <w:p>
      <w:r>
        <w:t>Данный документ содержит подробное описание методологии расчётов и интерпретации визуализаций, представленных в интерактивном дашборде аналитики клиентов и групп товаров.</w:t>
        <w:br/>
        <w:br/>
        <w:t>Цели анализа:</w:t>
        <w:br/>
        <w:t>• Сегментация клиентов по степени лояльности и ценности (RFM-анализ)</w:t>
        <w:br/>
        <w:t>• Отслеживание динамики поведения клиентов год от года</w:t>
        <w:br/>
        <w:t>• Сравнение покупательского поведения новых и постоянных клиентов</w:t>
        <w:br/>
        <w:t>• Анализ эффективности товарных групп</w:t>
        <w:br/>
        <w:br/>
        <w:t>Период анализа: январь 2023 — декабрь 2025 (36 месяцев)</w:t>
        <w:br/>
        <w:t>Количество клиентов: 1000</w:t>
        <w:br/>
        <w:t>Количество товарных групп: 28</w:t>
      </w:r>
    </w:p>
    <w:p/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2. ИСТОЧНИКИ ДАННЫХ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667eea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4844"/>
            <w:shd w:fill="667eea"/>
          </w:tcPr>
          <w:p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t>Файл данных</w:t>
            </w:r>
          </w:p>
        </w:tc>
        <w:tc>
          <w:tcPr>
            <w:tcW w:type="dxa" w:w="4844"/>
          </w:tcPr>
          <w:p>
            <w:r>
              <w:t>test_sales_data.xlsx</w:t>
            </w:r>
          </w:p>
        </w:tc>
      </w:tr>
      <w:tr>
        <w:tc>
          <w:tcPr>
            <w:tcW w:type="dxa" w:w="4844"/>
          </w:tcPr>
          <w:p>
            <w:r>
              <w:t>Структура</w:t>
            </w:r>
          </w:p>
        </w:tc>
        <w:tc>
          <w:tcPr>
            <w:tcW w:type="dxa" w:w="4844"/>
          </w:tcPr>
          <w:p>
            <w:r>
              <w:t>3 года × 12 месяцев × 28 групп × 3 показателя</w:t>
            </w:r>
          </w:p>
        </w:tc>
      </w:tr>
      <w:tr>
        <w:tc>
          <w:tcPr>
            <w:tcW w:type="dxa" w:w="4844"/>
          </w:tcPr>
          <w:p>
            <w:r>
              <w:t>Показатели</w:t>
            </w:r>
          </w:p>
        </w:tc>
        <w:tc>
          <w:tcPr>
            <w:tcW w:type="dxa" w:w="4844"/>
          </w:tcPr>
          <w:p>
            <w:r>
              <w:t>Количество в чеке, Сумма в чеке, Число чеков</w:t>
            </w:r>
          </w:p>
        </w:tc>
      </w:tr>
      <w:tr>
        <w:tc>
          <w:tcPr>
            <w:tcW w:type="dxa" w:w="4844"/>
          </w:tcPr>
          <w:p>
            <w:r>
              <w:t>Идентификатор клиента</w:t>
            </w:r>
          </w:p>
        </w:tc>
        <w:tc>
          <w:tcPr>
            <w:tcW w:type="dxa" w:w="4844"/>
          </w:tcPr>
          <w:p>
            <w:r>
              <w:t>ID_клиента (CLIENT_0001 ... CLIENT_1000)</w:t>
            </w:r>
          </w:p>
        </w:tc>
      </w:tr>
    </w:tbl>
    <w:p/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3. ГРАФИК 1: Динамика статусов клиентов</w:t>
      </w:r>
    </w:p>
    <w:p/>
    <w:p>
      <w:r>
        <w:rPr>
          <w:b/>
          <w:sz w:val="26"/>
        </w:rPr>
        <w:t>Описание</w:t>
      </w:r>
    </w:p>
    <w:p>
      <w:r>
        <w:t>Stacked bar chart, показывающий распределение клиентов по статусам активности в каждом месяце. Позволяет отслеживать динамику притока новых клиентов, удержания постоянных и возврата ушедших.</w:t>
      </w:r>
    </w:p>
    <w:p>
      <w:r>
        <w:rPr>
          <w:b/>
          <w:sz w:val="26"/>
        </w:rPr>
        <w:t>Методология расчёта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667eea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3230"/>
            <w:shd w:fill="667eea"/>
          </w:tcPr>
          <w:p>
            <w:r>
              <w:rPr>
                <w:b/>
                <w:color w:val="FFFFFF"/>
              </w:rPr>
              <w:t>Определение</w:t>
            </w:r>
          </w:p>
        </w:tc>
        <w:tc>
          <w:tcPr>
            <w:tcW w:type="dxa" w:w="3230"/>
            <w:shd w:fill="667eea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3230"/>
          </w:tcPr>
          <w:p>
            <w:r>
              <w:t>Новый</w:t>
            </w:r>
          </w:p>
        </w:tc>
        <w:tc>
          <w:tcPr>
            <w:tcW w:type="dxa" w:w="3230"/>
          </w:tcPr>
          <w:p>
            <w:r>
              <w:t>Покупка в текущем месяце, НЕ было покупок 12 месяцев до этого</w:t>
            </w:r>
          </w:p>
        </w:tc>
        <w:tc>
          <w:tcPr>
            <w:tcW w:type="dxa" w:w="3230"/>
          </w:tcPr>
          <w:p>
            <w:r>
              <w:t>Зелёный (#2ecc71)</w:t>
            </w:r>
          </w:p>
        </w:tc>
      </w:tr>
      <w:tr>
        <w:tc>
          <w:tcPr>
            <w:tcW w:type="dxa" w:w="3230"/>
          </w:tcPr>
          <w:p>
            <w:r>
              <w:t>Постоянный</w:t>
            </w:r>
          </w:p>
        </w:tc>
        <w:tc>
          <w:tcPr>
            <w:tcW w:type="dxa" w:w="3230"/>
          </w:tcPr>
          <w:p>
            <w:r>
              <w:t>Покупка в текущем месяце И была покупка за последние 6 месяцев</w:t>
            </w:r>
          </w:p>
        </w:tc>
        <w:tc>
          <w:tcPr>
            <w:tcW w:type="dxa" w:w="3230"/>
          </w:tcPr>
          <w:p>
            <w:r>
              <w:t>Фиолетовый (#9b59b6)</w:t>
            </w:r>
          </w:p>
        </w:tc>
      </w:tr>
      <w:tr>
        <w:tc>
          <w:tcPr>
            <w:tcW w:type="dxa" w:w="3230"/>
          </w:tcPr>
          <w:p>
            <w:r>
              <w:t>Вернувшийся</w:t>
            </w:r>
          </w:p>
        </w:tc>
        <w:tc>
          <w:tcPr>
            <w:tcW w:type="dxa" w:w="3230"/>
          </w:tcPr>
          <w:p>
            <w:r>
              <w:t>Покупка в текущем месяце, НЕ было 6 месяцев, но был ранее</w:t>
            </w:r>
          </w:p>
        </w:tc>
        <w:tc>
          <w:tcPr>
            <w:tcW w:type="dxa" w:w="3230"/>
          </w:tcPr>
          <w:p>
            <w:r>
              <w:t>Синий (#3498db)</w:t>
            </w:r>
          </w:p>
        </w:tc>
      </w:tr>
      <w:tr>
        <w:tc>
          <w:tcPr>
            <w:tcW w:type="dxa" w:w="3230"/>
          </w:tcPr>
          <w:p>
            <w:r>
              <w:t>Ушедший</w:t>
            </w:r>
          </w:p>
        </w:tc>
        <w:tc>
          <w:tcPr>
            <w:tcW w:type="dxa" w:w="3230"/>
          </w:tcPr>
          <w:p>
            <w:r>
              <w:t>Была покупка 6+ месяцев назад, НЕТ покупок последние 6 месяцев</w:t>
            </w:r>
          </w:p>
        </w:tc>
        <w:tc>
          <w:tcPr>
            <w:tcW w:type="dxa" w:w="3230"/>
          </w:tcPr>
          <w:p>
            <w:r>
              <w:t>Красный (#e74c3c)</w:t>
            </w:r>
          </w:p>
        </w:tc>
      </w:tr>
    </w:tbl>
    <w:p/>
    <w:p>
      <w:r>
        <w:rPr>
          <w:b/>
          <w:sz w:val="26"/>
        </w:rPr>
        <w:t>Формулы</w:t>
      </w:r>
    </w:p>
    <w:p>
      <w:r>
        <w:rPr>
          <w:rFonts w:ascii="Consolas" w:hAnsi="Consolas"/>
          <w:sz w:val="20"/>
        </w:rPr>
        <w:br/>
        <w:t>Для каждого клиента C в месяце M:</w:t>
        <w:br/>
        <w:br/>
        <w:t>is_active_now = 1, если есть покупка в месяце M</w:t>
        <w:br/>
        <w:t>active_last_6 = 1, если есть хотя бы одна покупка в месяцах [M-6, M-1]</w:t>
        <w:br/>
        <w:t>active_last_12 = 1, если есть хотя бы одна покупка в месяцах [M-12, M-1]</w:t>
        <w:br/>
        <w:t>active_before_6 = 1, если есть покупка ранее M-6</w:t>
        <w:br/>
        <w:br/>
        <w:t>Статус определяется по алгоритму:</w:t>
        <w:br/>
        <w:t>IF is_active_now = 1:</w:t>
        <w:br/>
        <w:t xml:space="preserve">    IF active_last_12 = 0 → "Новый"</w:t>
        <w:br/>
        <w:t xml:space="preserve">    ELIF active_last_6 = 1 → "Постоянный"</w:t>
        <w:br/>
        <w:t xml:space="preserve">    ELSE → "Вернувшийся"</w:t>
        <w:br/>
        <w:t>ELSE:</w:t>
        <w:br/>
        <w:t xml:space="preserve">    IF active_before_6 = 1 AND active_last_6 = 0 → "Ушедший"</w:t>
        <w:br/>
      </w:r>
    </w:p>
    <w:p>
      <w:r>
        <w:rPr>
          <w:b/>
          <w:sz w:val="26"/>
        </w:rPr>
        <w:t>Пример расчёта</w:t>
      </w:r>
    </w:p>
    <w:p>
      <w:r>
        <w:br/>
        <w:t>Клиент CLIENT_0042, текущий месяц: Март 2024</w:t>
        <w:br/>
        <w:br/>
        <w:t>История покупок:</w:t>
        <w:br/>
        <w:t>• Январь 2023: была покупка ✓</w:t>
        <w:br/>
        <w:t>• Февраль 2023 — Август 2023: нет покупок</w:t>
        <w:br/>
        <w:t>• Сентябрь 2023: была покупка ✓</w:t>
        <w:br/>
        <w:t>• Октябрь 2023 — Февраль 2024: нет покупок (6 месяцев)</w:t>
        <w:br/>
        <w:t>• Март 2024: есть покупка ✓</w:t>
        <w:br/>
        <w:br/>
        <w:t>Расчёт:</w:t>
        <w:br/>
        <w:t>• is_active_now = 1 (есть покупка в марте 2024)</w:t>
        <w:br/>
        <w:t>• active_last_6 = 0 (нет покупок с сентября 2023 по февраль 2024)</w:t>
        <w:br/>
        <w:t>• active_last_12 = 1 (была покупка в сентябре 2023)</w:t>
        <w:br/>
        <w:t>• active_before_6 = 1 (были покупки в 2023)</w:t>
        <w:br/>
        <w:br/>
        <w:t>Результат: Статус = "Вернувшийся" (активен сейчас, не было 6 мес, но был ранее)</w:t>
        <w:br/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4. ГРАФИК 2: RFM-кластеры по годам</w:t>
      </w:r>
    </w:p>
    <w:p/>
    <w:p>
      <w:r>
        <w:rPr>
          <w:b/>
          <w:sz w:val="26"/>
        </w:rPr>
        <w:t>Описание</w:t>
      </w:r>
    </w:p>
    <w:p>
      <w:r>
        <w:t>Grouped bar chart, отображающий распределение клиентов по RFM-кластерам для каждого года. RFM-анализ — классический метод сегментации клиентов на основе их покупательского поведения.</w:t>
      </w:r>
    </w:p>
    <w:p>
      <w:r>
        <w:rPr>
          <w:b/>
          <w:sz w:val="26"/>
        </w:rPr>
        <w:t>Методология расчёта RFM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667eea"/>
          </w:tcPr>
          <w:p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3230"/>
            <w:shd w:fill="667eea"/>
          </w:tcPr>
          <w:p>
            <w:r>
              <w:rPr>
                <w:b/>
                <w:color w:val="FFFFFF"/>
              </w:rPr>
              <w:t>Расшифровка</w:t>
            </w:r>
          </w:p>
        </w:tc>
        <w:tc>
          <w:tcPr>
            <w:tcW w:type="dxa" w:w="3230"/>
            <w:shd w:fill="667eea"/>
          </w:tcPr>
          <w:p>
            <w:r>
              <w:rPr>
                <w:b/>
                <w:color w:val="FFFFFF"/>
              </w:rPr>
              <w:t>Формула расчёта</w:t>
            </w:r>
          </w:p>
        </w:tc>
      </w:tr>
      <w:tr>
        <w:tc>
          <w:tcPr>
            <w:tcW w:type="dxa" w:w="3230"/>
          </w:tcPr>
          <w:p>
            <w:r>
              <w:t>R (Recency)</w:t>
            </w:r>
          </w:p>
        </w:tc>
        <w:tc>
          <w:tcPr>
            <w:tcW w:type="dxa" w:w="3230"/>
          </w:tcPr>
          <w:p>
            <w:r>
              <w:t>Давность последней покупки</w:t>
            </w:r>
          </w:p>
        </w:tc>
        <w:tc>
          <w:tcPr>
            <w:tcW w:type="dxa" w:w="3230"/>
          </w:tcPr>
          <w:p>
            <w:r>
              <w:t>Номер последнего месяца с покупкой (1-12)</w:t>
              <w:br/>
              <w:t>12 = декабрь = свежий клиент</w:t>
            </w:r>
          </w:p>
        </w:tc>
      </w:tr>
      <w:tr>
        <w:tc>
          <w:tcPr>
            <w:tcW w:type="dxa" w:w="3230"/>
          </w:tcPr>
          <w:p>
            <w:r>
              <w:t>F (Frequency)</w:t>
            </w:r>
          </w:p>
        </w:tc>
        <w:tc>
          <w:tcPr>
            <w:tcW w:type="dxa" w:w="3230"/>
          </w:tcPr>
          <w:p>
            <w:r>
              <w:t>Частота покупок</w:t>
            </w:r>
          </w:p>
        </w:tc>
        <w:tc>
          <w:tcPr>
            <w:tcW w:type="dxa" w:w="3230"/>
          </w:tcPr>
          <w:p>
            <w:r>
              <w:t>Количество месяцев с покупками за год (1-12)</w:t>
            </w:r>
          </w:p>
        </w:tc>
      </w:tr>
      <w:tr>
        <w:tc>
          <w:tcPr>
            <w:tcW w:type="dxa" w:w="3230"/>
          </w:tcPr>
          <w:p>
            <w:r>
              <w:t>M (Monetary)</w:t>
            </w:r>
          </w:p>
        </w:tc>
        <w:tc>
          <w:tcPr>
            <w:tcW w:type="dxa" w:w="3230"/>
          </w:tcPr>
          <w:p>
            <w:r>
              <w:t>Денежная ценность</w:t>
            </w:r>
          </w:p>
        </w:tc>
        <w:tc>
          <w:tcPr>
            <w:tcW w:type="dxa" w:w="3230"/>
          </w:tcPr>
          <w:p>
            <w:r>
              <w:t>Сумма всех покупок клиента за год (руб.)</w:t>
            </w:r>
          </w:p>
        </w:tc>
      </w:tr>
    </w:tbl>
    <w:p/>
    <w:p>
      <w:r>
        <w:rPr>
          <w:b/>
          <w:sz w:val="26"/>
        </w:rPr>
        <w:t>Алгоритм кластеризации</w:t>
      </w:r>
    </w:p>
    <w:p>
      <w:r>
        <w:rPr>
          <w:rFonts w:ascii="Consolas" w:hAnsi="Consolas"/>
          <w:sz w:val="20"/>
        </w:rPr>
        <w:br/>
        <w:t>1. Нормализация данных (StandardScaler):</w:t>
        <w:br/>
        <w:t xml:space="preserve">   R_norm = (R - mean(R)) / std(R)</w:t>
        <w:br/>
        <w:t xml:space="preserve">   F_norm = (F - mean(F)) / std(F)</w:t>
        <w:br/>
        <w:t xml:space="preserve">   M_norm = (M - mean(M)) / std(M)</w:t>
        <w:br/>
        <w:br/>
        <w:t>2. K-means кластеризация (k=5):</w:t>
        <w:br/>
        <w:t xml:space="preserve">   Алгоритм минимизирует внутрикластерную дисперсию:</w:t>
        <w:br/>
        <w:t xml:space="preserve">   argmin Σ Σ ||x - μᵢ||²</w:t>
        <w:br/>
        <w:br/>
        <w:t>3. Присвоение названий кластерам:</w:t>
        <w:br/>
        <w:t xml:space="preserve">   • Вычисляется средний Score = R_norm + F_norm + M_norm для каждого кластера</w:t>
        <w:br/>
        <w:t xml:space="preserve">   • Кластеры ранжируются по Score (от большего к меньшему)</w:t>
        <w:br/>
        <w:t xml:space="preserve">   • Присваиваются названия: Чемпионы → Лояльные → Перспективные →</w:t>
        <w:br/>
        <w:t xml:space="preserve">     Требуют внимания → Потерянные</w:t>
        <w:br/>
      </w:r>
    </w:p>
    <w:p/>
    <w:p>
      <w:r>
        <w:rPr>
          <w:b/>
          <w:sz w:val="26"/>
        </w:rPr>
        <w:t>Характеристики кластеров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667eea"/>
          </w:tcPr>
          <w:p>
            <w:r>
              <w:rPr>
                <w:b/>
                <w:color w:val="FFFFFF"/>
              </w:rPr>
              <w:t>Кластер</w:t>
            </w:r>
          </w:p>
        </w:tc>
        <w:tc>
          <w:tcPr>
            <w:tcW w:type="dxa" w:w="2422"/>
            <w:shd w:fill="667eea"/>
          </w:tcPr>
          <w:p>
            <w:r>
              <w:rPr>
                <w:b/>
                <w:color w:val="FFFFFF"/>
              </w:rPr>
              <w:t>R (Recency)</w:t>
            </w:r>
          </w:p>
        </w:tc>
        <w:tc>
          <w:tcPr>
            <w:tcW w:type="dxa" w:w="2422"/>
            <w:shd w:fill="667eea"/>
          </w:tcPr>
          <w:p>
            <w:r>
              <w:rPr>
                <w:b/>
                <w:color w:val="FFFFFF"/>
              </w:rPr>
              <w:t>F (Frequency)</w:t>
            </w:r>
          </w:p>
        </w:tc>
        <w:tc>
          <w:tcPr>
            <w:tcW w:type="dxa" w:w="2422"/>
            <w:shd w:fill="667eea"/>
          </w:tcPr>
          <w:p>
            <w:r>
              <w:rPr>
                <w:b/>
                <w:color w:val="FFFFFF"/>
              </w:rPr>
              <w:t>M (Monetary)</w:t>
            </w:r>
          </w:p>
        </w:tc>
      </w:tr>
      <w:tr>
        <w:tc>
          <w:tcPr>
            <w:tcW w:type="dxa" w:w="2422"/>
          </w:tcPr>
          <w:p>
            <w:r>
              <w:t>Чемпионы</w:t>
            </w:r>
          </w:p>
        </w:tc>
        <w:tc>
          <w:tcPr>
            <w:tcW w:type="dxa" w:w="2422"/>
          </w:tcPr>
          <w:p>
            <w:r>
              <w:t>Высокий (недавно)</w:t>
            </w:r>
          </w:p>
        </w:tc>
        <w:tc>
          <w:tcPr>
            <w:tcW w:type="dxa" w:w="2422"/>
          </w:tcPr>
          <w:p>
            <w:r>
              <w:t>Высокий (часто)</w:t>
            </w:r>
          </w:p>
        </w:tc>
        <w:tc>
          <w:tcPr>
            <w:tcW w:type="dxa" w:w="2422"/>
          </w:tcPr>
          <w:p>
            <w:r>
              <w:t>Высокий (много)</w:t>
            </w:r>
          </w:p>
        </w:tc>
      </w:tr>
      <w:tr>
        <w:tc>
          <w:tcPr>
            <w:tcW w:type="dxa" w:w="2422"/>
          </w:tcPr>
          <w:p>
            <w:r>
              <w:t>Лояльные</w:t>
            </w:r>
          </w:p>
        </w:tc>
        <w:tc>
          <w:tcPr>
            <w:tcW w:type="dxa" w:w="2422"/>
          </w:tcPr>
          <w:p>
            <w:r>
              <w:t>Средне-высокий</w:t>
            </w:r>
          </w:p>
        </w:tc>
        <w:tc>
          <w:tcPr>
            <w:tcW w:type="dxa" w:w="2422"/>
          </w:tcPr>
          <w:p>
            <w:r>
              <w:t>Высокий</w:t>
            </w:r>
          </w:p>
        </w:tc>
        <w:tc>
          <w:tcPr>
            <w:tcW w:type="dxa" w:w="2422"/>
          </w:tcPr>
          <w:p>
            <w:r>
              <w:t>Средне-высокий</w:t>
            </w:r>
          </w:p>
        </w:tc>
      </w:tr>
      <w:tr>
        <w:tc>
          <w:tcPr>
            <w:tcW w:type="dxa" w:w="2422"/>
          </w:tcPr>
          <w:p>
            <w:r>
              <w:t>Перспективные</w:t>
            </w:r>
          </w:p>
        </w:tc>
        <w:tc>
          <w:tcPr>
            <w:tcW w:type="dxa" w:w="2422"/>
          </w:tcPr>
          <w:p>
            <w:r>
              <w:t>Высокий</w:t>
            </w:r>
          </w:p>
        </w:tc>
        <w:tc>
          <w:tcPr>
            <w:tcW w:type="dxa" w:w="2422"/>
          </w:tcPr>
          <w:p>
            <w:r>
              <w:t>Низкий</w:t>
            </w:r>
          </w:p>
        </w:tc>
        <w:tc>
          <w:tcPr>
            <w:tcW w:type="dxa" w:w="2422"/>
          </w:tcPr>
          <w:p>
            <w:r>
              <w:t>Средний</w:t>
            </w:r>
          </w:p>
        </w:tc>
      </w:tr>
      <w:tr>
        <w:tc>
          <w:tcPr>
            <w:tcW w:type="dxa" w:w="2422"/>
          </w:tcPr>
          <w:p>
            <w:r>
              <w:t>Требуют внимания</w:t>
            </w:r>
          </w:p>
        </w:tc>
        <w:tc>
          <w:tcPr>
            <w:tcW w:type="dxa" w:w="2422"/>
          </w:tcPr>
          <w:p>
            <w:r>
              <w:t>Средний</w:t>
            </w:r>
          </w:p>
        </w:tc>
        <w:tc>
          <w:tcPr>
            <w:tcW w:type="dxa" w:w="2422"/>
          </w:tcPr>
          <w:p>
            <w:r>
              <w:t>Средний</w:t>
            </w:r>
          </w:p>
        </w:tc>
        <w:tc>
          <w:tcPr>
            <w:tcW w:type="dxa" w:w="2422"/>
          </w:tcPr>
          <w:p>
            <w:r>
              <w:t>Средний</w:t>
            </w:r>
          </w:p>
        </w:tc>
      </w:tr>
      <w:tr>
        <w:tc>
          <w:tcPr>
            <w:tcW w:type="dxa" w:w="2422"/>
          </w:tcPr>
          <w:p>
            <w:r>
              <w:t>Потерянные</w:t>
            </w:r>
          </w:p>
        </w:tc>
        <w:tc>
          <w:tcPr>
            <w:tcW w:type="dxa" w:w="2422"/>
          </w:tcPr>
          <w:p>
            <w:r>
              <w:t>Низкий (давно)</w:t>
            </w:r>
          </w:p>
        </w:tc>
        <w:tc>
          <w:tcPr>
            <w:tcW w:type="dxa" w:w="2422"/>
          </w:tcPr>
          <w:p>
            <w:r>
              <w:t>Низкий (редко)</w:t>
            </w:r>
          </w:p>
        </w:tc>
        <w:tc>
          <w:tcPr>
            <w:tcW w:type="dxa" w:w="2422"/>
          </w:tcPr>
          <w:p>
            <w:r>
              <w:t>Низкий (мало)</w:t>
            </w:r>
          </w:p>
        </w:tc>
      </w:tr>
    </w:tbl>
    <w:p/>
    <w:p>
      <w:r>
        <w:rPr>
          <w:b/>
          <w:sz w:val="26"/>
        </w:rPr>
        <w:t>Пример расчёта</w:t>
      </w:r>
    </w:p>
    <w:p>
      <w:r>
        <w:br/>
        <w:t>Клиент CLIENT_0015, год 2024:</w:t>
        <w:br/>
        <w:br/>
        <w:t>Исходные данные:</w:t>
        <w:br/>
        <w:t>• Последний месяц покупки: Декабрь (12)</w:t>
        <w:br/>
        <w:t>• Месяцев с покупками: 10 из 12</w:t>
        <w:br/>
        <w:t>• Общая сумма: 2,450,000 руб.</w:t>
        <w:br/>
        <w:br/>
        <w:t>RFM-показатели:</w:t>
        <w:br/>
        <w:t>• R = 12 (максимум, свежий клиент)</w:t>
        <w:br/>
        <w:t>• F = 10 (высокая частота)</w:t>
        <w:br/>
        <w:t>• M = 2,450,000 (выше среднего)</w:t>
        <w:br/>
        <w:br/>
        <w:t>После нормализации и кластеризации:</w:t>
        <w:br/>
        <w:t>• R_norm = 1.2, F_norm = 0.9, M_norm = 1.1</w:t>
        <w:br/>
        <w:t>• Score = 3.2 (высокий)</w:t>
        <w:br/>
        <w:br/>
        <w:t>Результат: Кластер = "Чемпионы"</w:t>
        <w:br/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5. ГРАФИК 3: Профили RFM-кластеров (Radar)</w:t>
      </w:r>
    </w:p>
    <w:p/>
    <w:p>
      <w:r>
        <w:rPr>
          <w:b/>
          <w:sz w:val="26"/>
        </w:rPr>
        <w:t>Описание</w:t>
      </w:r>
    </w:p>
    <w:p>
      <w:r>
        <w:t>Radar chart (лепестковая диаграмма), визуализирующий профиль каждого RFM-кластера по трём осям: Recency, Frequency, Monetary. Позволяет наглядно сравнить характеристики разных сегментов клиентов.</w:t>
      </w:r>
    </w:p>
    <w:p>
      <w:r>
        <w:rPr>
          <w:b/>
          <w:sz w:val="26"/>
        </w:rPr>
        <w:t>Методология расчёта</w:t>
      </w:r>
    </w:p>
    <w:p>
      <w:r>
        <w:rPr>
          <w:rFonts w:ascii="Consolas" w:hAnsi="Consolas"/>
          <w:sz w:val="20"/>
        </w:rPr>
        <w:br/>
        <w:t>1. Для каждого кластера вычисляются средние значения R, F, M:</w:t>
        <w:br/>
        <w:t xml:space="preserve">   R_cluster = mean(R) для всех клиентов кластера</w:t>
        <w:br/>
        <w:t xml:space="preserve">   F_cluster = mean(F) для всех клиентов кластера</w:t>
        <w:br/>
        <w:t xml:space="preserve">   M_cluster = mean(M) для всех клиентов кластера</w:t>
        <w:br/>
        <w:br/>
        <w:t>2. Нормализация в диапазон [0, 1] для сравнимости:</w:t>
        <w:br/>
        <w:t xml:space="preserve">   R_norm = (R_cluster - min(R)) / (max(R) - min(R))</w:t>
        <w:br/>
        <w:t xml:space="preserve">   F_norm = (F_cluster - min(F)) / (max(F) - min(F))</w:t>
        <w:br/>
        <w:t xml:space="preserve">   M_norm = (M_cluster - min(M)) / (max(M) - min(M))</w:t>
        <w:br/>
        <w:br/>
        <w:t>3. Построение radar chart с тремя осями и замкнутым контуром</w:t>
        <w:br/>
      </w:r>
    </w:p>
    <w:p/>
    <w:p>
      <w:r>
        <w:rPr>
          <w:b/>
          <w:sz w:val="26"/>
        </w:rPr>
        <w:t>Интерпретация</w:t>
      </w:r>
    </w:p>
    <w:p>
      <w:r>
        <w:t>• Чем больше площадь фигуры — тем ценнее сегмент клиентов</w:t>
        <w:br/>
        <w:t>• "Чемпионы" имеют максимальную площадь (высокие R, F, M)</w:t>
        <w:br/>
        <w:t>• "Потерянные" имеют минимальную площадь (низкие R, F, M)</w:t>
        <w:br/>
        <w:t>• Форма фигуры показывает "перекосы" — например, высокий M при низком F означает редкие, но крупные покупки</w:t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6. ГРАФИК 4: Миграция клиентов (Sankey)</w:t>
      </w:r>
    </w:p>
    <w:p/>
    <w:p>
      <w:r>
        <w:rPr>
          <w:b/>
          <w:sz w:val="26"/>
        </w:rPr>
        <w:t>Описание</w:t>
      </w:r>
    </w:p>
    <w:p>
      <w:r>
        <w:t>Sankey-диаграмма, показывающая потоки миграции клиентов между RFM-кластерами за три года (2023 → 2024 → 2025). Ширина потока пропорциональна количеству клиентов, совершивших переход.</w:t>
      </w:r>
    </w:p>
    <w:p>
      <w:r>
        <w:rPr>
          <w:b/>
          <w:sz w:val="26"/>
        </w:rPr>
        <w:t>Методология расчёта</w:t>
      </w:r>
    </w:p>
    <w:p>
      <w:r>
        <w:rPr>
          <w:rFonts w:ascii="Consolas" w:hAnsi="Consolas"/>
          <w:sz w:val="20"/>
        </w:rPr>
        <w:br/>
        <w:t>1. Создание таблицы миграции:</w:t>
        <w:br/>
        <w:t xml:space="preserve">   migration[client_id, year] = cluster_name</w:t>
        <w:br/>
        <w:br/>
        <w:t>2. Подсчёт переходов между кластерами:</w:t>
        <w:br/>
        <w:t xml:space="preserve">   FOR each pair (cluster_from, cluster_to):</w:t>
        <w:br/>
        <w:t xml:space="preserve">       count = COUNT(clients WHERE</w:t>
        <w:br/>
        <w:t xml:space="preserve">                     cluster[year] = cluster_from AND</w:t>
        <w:br/>
        <w:t xml:space="preserve">                     cluster[year+1] = cluster_to)</w:t>
        <w:br/>
        <w:br/>
        <w:t>3. Формирование потоков Sankey:</w:t>
        <w:br/>
        <w:t xml:space="preserve">   source[] = индексы исходных кластеров</w:t>
        <w:br/>
        <w:t xml:space="preserve">   target[] = индексы целевых кластеров</w:t>
        <w:br/>
        <w:t xml:space="preserve">   value[] = количество клиентов в переходе</w:t>
        <w:br/>
      </w:r>
    </w:p>
    <w:p/>
    <w:p>
      <w:r>
        <w:rPr>
          <w:b/>
          <w:sz w:val="26"/>
        </w:rPr>
        <w:t>Пример расчёта</w:t>
      </w:r>
    </w:p>
    <w:p>
      <w:r>
        <w:br/>
        <w:t>Переход 2023 → 2024:</w:t>
        <w:br/>
        <w:br/>
        <w:t>Матрица переходов (пример):</w:t>
        <w:br/>
        <w:t xml:space="preserve">                    2024</w:t>
        <w:br/>
        <w:t xml:space="preserve">              Чемпионы  Лояльные  Перспективные  Требуют вним.  Потерянные</w:t>
        <w:br/>
        <w:t>2023</w:t>
        <w:br/>
        <w:t>Чемпионы          150       30            10              5           5</w:t>
        <w:br/>
        <w:t>Лояльные           40      180            20             10          10</w:t>
        <w:br/>
        <w:t>Перспективные      20       40           100             30          10</w:t>
        <w:br/>
        <w:t>Требуют вним.       5       10            30            120          35</w:t>
        <w:br/>
        <w:t>Потерянные          0        5            10             20         165</w:t>
        <w:br/>
        <w:br/>
        <w:t>Интерпретация:</w:t>
        <w:br/>
        <w:t>• 150 "Чемпионов" 2023 остались "Чемпионами" в 2024 (удержание)</w:t>
        <w:br/>
        <w:t>• 30 "Чемпионов" 2023 стали "Лояльными" в 2024 (снижение)</w:t>
        <w:br/>
        <w:t>• 40 "Лояльных" 2023 стали "Чемпионами" в 2024 (рост)</w:t>
        <w:br/>
        <w:t>• 165 "Потерянных" остались "Потерянными" (критично!)</w:t>
        <w:br/>
      </w:r>
    </w:p>
    <w:p>
      <w:r>
        <w:rPr>
          <w:b/>
          <w:sz w:val="26"/>
        </w:rPr>
        <w:t>Ключевые метрики миграции</w:t>
      </w:r>
    </w:p>
    <w:p>
      <w:r>
        <w:t>• Retention Rate (удержание) = клиенты, оставшиеся в том же кластере / всего в кластере</w:t>
        <w:br/>
        <w:t>• Upgrade Rate (рост) = клиенты, перешедшие в лучший кластер / всего в кластере</w:t>
        <w:br/>
        <w:t>• Downgrade Rate (падение) = клиенты, перешедшие в худший кластер / всего в кластере</w:t>
        <w:br/>
        <w:t>• Churn Rate (отток) = клиенты, ставшие "Потерянными" / всего клиентов</w:t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7. ГРАФИК 5: Выручка по группам товаров</w:t>
      </w:r>
    </w:p>
    <w:p/>
    <w:p>
      <w:r>
        <w:rPr>
          <w:b/>
          <w:sz w:val="26"/>
        </w:rPr>
        <w:t>Описание</w:t>
      </w:r>
    </w:p>
    <w:p>
      <w:r>
        <w:t>Bar chart, показывающий суммарную выручку по каждой из 28 товарных групп за весь период анализа. Позволяет выявить наиболее и наименее доходные категории.</w:t>
      </w:r>
    </w:p>
    <w:p>
      <w:r>
        <w:rPr>
          <w:b/>
          <w:sz w:val="26"/>
        </w:rPr>
        <w:t>Методология расчёта</w:t>
      </w:r>
    </w:p>
    <w:p>
      <w:r>
        <w:rPr>
          <w:rFonts w:ascii="Consolas" w:hAnsi="Consolas"/>
          <w:sz w:val="20"/>
        </w:rPr>
        <w:br/>
        <w:t>Выручка_группы = SUM(Сумма_в_чеке)</w:t>
        <w:br/>
        <w:t xml:space="preserve">                 WHERE Группа = текущая_группа</w:t>
        <w:br/>
        <w:t xml:space="preserve">                 GROUP BY Группа</w:t>
        <w:br/>
        <w:br/>
        <w:t>Сортировка: по убыванию выручки</w:t>
        <w:br/>
        <w:br/>
        <w:t>Дополнительные метрики (для анализа):</w:t>
        <w:br/>
        <w:t>• Доля в выручке = Выручка_группы / Общая_выручка × 100%</w:t>
        <w:br/>
        <w:t>• Средний чек группы = Выручка_группы / Число_чеков_группы</w:t>
        <w:br/>
        <w:t>• Penetration = COUNT(DISTINCT клиентов с покупкой группы) / Всего_клиентов × 100%</w:t>
        <w:br/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8. ГРАФИК 6: Сезонность групп товаров</w:t>
      </w:r>
    </w:p>
    <w:p/>
    <w:p>
      <w:r>
        <w:rPr>
          <w:b/>
          <w:sz w:val="26"/>
        </w:rPr>
        <w:t>Описание</w:t>
      </w:r>
    </w:p>
    <w:p>
      <w:r>
        <w:t>Heatmap (тепловая карта), показывающий распределение выручки каждой группы товаров по месяцам. Позволяет выявить сезонные паттерны продаж.</w:t>
      </w:r>
    </w:p>
    <w:p>
      <w:r>
        <w:rPr>
          <w:b/>
          <w:sz w:val="26"/>
        </w:rPr>
        <w:t>Методология расчёта</w:t>
      </w:r>
    </w:p>
    <w:p>
      <w:r>
        <w:rPr>
          <w:rFonts w:ascii="Consolas" w:hAnsi="Consolas"/>
          <w:sz w:val="20"/>
        </w:rPr>
        <w:br/>
        <w:t>1. Агрегация выручки по группам и месяцам:</w:t>
        <w:br/>
        <w:t xml:space="preserve">   revenue[группа, месяц] = SUM(Сумма_в_чеке)</w:t>
        <w:br/>
        <w:t xml:space="preserve">                           WHERE Группа = группа AND Месяц = месяц</w:t>
        <w:br/>
        <w:br/>
        <w:t>2. Нормализация по строкам (для выявления паттернов):</w:t>
        <w:br/>
        <w:t xml:space="preserve">   revenue_norm[группа, месяц] = revenue[группа, месяц] /</w:t>
        <w:br/>
        <w:t xml:space="preserve">                                  SUM(revenue[группа, :]) × 100%</w:t>
        <w:br/>
        <w:br/>
        <w:t xml:space="preserve">   Интерпретация: какой процент годовой выручки группы приходится на каждый месяц</w:t>
        <w:br/>
        <w:t xml:space="preserve">   При равномерном распределении: ~8.3% на каждый месяц (100% / 12)</w:t>
        <w:br/>
        <w:br/>
        <w:t>3. Цветовая шкала: YlOrRd (жёлтый → оранжевый → красный)</w:t>
        <w:br/>
        <w:t xml:space="preserve">   • Жёлтый: низкая доля (&lt; 7%)</w:t>
        <w:br/>
        <w:t xml:space="preserve">   • Оранжевый: средняя доля (7-10%)</w:t>
        <w:br/>
        <w:t xml:space="preserve">   • Красный: высокая доля (&gt; 10%) — пик сезона</w:t>
        <w:br/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9. ГРАФИК 7: Динамика выручки по годам</w:t>
      </w:r>
    </w:p>
    <w:p/>
    <w:p>
      <w:r>
        <w:rPr>
          <w:b/>
          <w:sz w:val="26"/>
        </w:rPr>
        <w:t>Описание</w:t>
      </w:r>
    </w:p>
    <w:p>
      <w:r>
        <w:t>Grouped bar chart, сравнивающий выручку по товарным группам в разрезе годов (2023, 2024, 2025). Позволяет оценить динамику роста/падения каждой категории.</w:t>
      </w:r>
    </w:p>
    <w:p>
      <w:r>
        <w:rPr>
          <w:b/>
          <w:sz w:val="26"/>
        </w:rPr>
        <w:t>Методология расчёта</w:t>
      </w:r>
    </w:p>
    <w:p>
      <w:r>
        <w:rPr>
          <w:rFonts w:ascii="Consolas" w:hAnsi="Consolas"/>
          <w:sz w:val="20"/>
        </w:rPr>
        <w:br/>
        <w:t>Выручка[группа, год] = SUM(Сумма_в_чеке)</w:t>
        <w:br/>
        <w:t xml:space="preserve">                       WHERE Группа = группа AND Год = год</w:t>
        <w:br/>
        <w:br/>
        <w:t>Дополнительные метрики:</w:t>
        <w:br/>
        <w:t>• YoY Growth = (Выручка[год] - Выручка[год-1]) / Выручка[год-1] × 100%</w:t>
        <w:br/>
        <w:t>• CAGR = (Выручка[2025] / Выручка[2023])^(1/2) - 1</w:t>
        <w:br/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10. ГРАФИК 8: Сравнение новых и постоянных клиентов</w:t>
      </w:r>
    </w:p>
    <w:p/>
    <w:p>
      <w:r>
        <w:rPr>
          <w:b/>
          <w:sz w:val="26"/>
        </w:rPr>
        <w:t>Описание</w:t>
      </w:r>
    </w:p>
    <w:p>
      <w:r>
        <w:t>Grouped bar chart, сравнивающий структуру покупок новых и постоянных клиентов по товарным группам. Показывает, какие категории предпочитают разные сегменты.</w:t>
      </w:r>
    </w:p>
    <w:p>
      <w:r>
        <w:rPr>
          <w:b/>
          <w:sz w:val="26"/>
        </w:rPr>
        <w:t>Методология расчёта</w:t>
      </w:r>
    </w:p>
    <w:p>
      <w:r>
        <w:rPr>
          <w:rFonts w:ascii="Consolas" w:hAnsi="Consolas"/>
          <w:sz w:val="20"/>
        </w:rPr>
        <w:br/>
        <w:t>1. Фильтрация данных по статусу:</w:t>
        <w:br/>
        <w:t xml:space="preserve">   data_new = данные WHERE Статус = "Новый"</w:t>
        <w:br/>
        <w:t xml:space="preserve">   data_regular = данные WHERE Статус = "Постоянный"</w:t>
        <w:br/>
        <w:br/>
        <w:t>2. Агрегация чеков по группам:</w:t>
        <w:br/>
        <w:t xml:space="preserve">   checks_new[группа] = SUM(Число_чеков) для data_new</w:t>
        <w:br/>
        <w:t xml:space="preserve">   checks_regular[группа] = SUM(Число_чеков) для data_regular</w:t>
        <w:br/>
        <w:br/>
        <w:t>3. Нормализация в проценты:</w:t>
        <w:br/>
        <w:t xml:space="preserve">   pct_new[группа] = checks_new[группа] / SUM(checks_new) × 100%</w:t>
        <w:br/>
        <w:t xml:space="preserve">   pct_regular[группа] = checks_regular[группа] / SUM(checks_regular) × 100%</w:t>
        <w:br/>
        <w:br/>
        <w:t>4. Расчёт разницы (для выявления предпочтений):</w:t>
        <w:br/>
        <w:t xml:space="preserve">   diff[группа] = pct_new[группа] - pct_regular[группа]</w:t>
        <w:br/>
        <w:br/>
        <w:t xml:space="preserve">   • diff &gt; 0: группу чаще покупают НОВЫЕ клиенты</w:t>
        <w:br/>
        <w:t xml:space="preserve">   • diff &lt; 0: группу чаще покупают ПОСТОЯННЫЕ клиенты</w:t>
        <w:br/>
      </w:r>
    </w:p>
    <w:p/>
    <w:p>
      <w:r>
        <w:rPr>
          <w:b/>
          <w:sz w:val="26"/>
        </w:rPr>
        <w:t>Бизнес-интерпретация</w:t>
      </w:r>
    </w:p>
    <w:p>
      <w:r>
        <w:t>• Группы с высокой долей у новых клиентов — "точки входа", привлекающие новую аудиторию</w:t>
        <w:br/>
        <w:t>• Группы с высокой долей у постоянных — "якорные категории", обеспечивающие лояльность</w:t>
        <w:br/>
        <w:t>• Анализ помогает оптимизировать ассортимент и промо-активности для разных сегментов</w:t>
      </w:r>
    </w:p>
    <w:p>
      <w:r>
        <w:br w:type="page"/>
      </w:r>
    </w:p>
    <w:p>
      <w:pPr>
        <w:pBdr>
          <w:bottom w:val="single" w:sz="6" w:space="1" w:color="667eea"/>
        </w:pBdr>
      </w:pPr>
      <w:r>
        <w:rPr>
          <w:b/>
          <w:color w:val="667EEA"/>
          <w:sz w:val="32"/>
        </w:rPr>
        <w:t>11. ГЛОССАРИЙ ТЕРМИНОВ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667eea"/>
          </w:tcPr>
          <w:p>
            <w:r>
              <w:rPr>
                <w:b/>
                <w:color w:val="FFFFFF"/>
              </w:rPr>
              <w:t>Термин</w:t>
            </w:r>
          </w:p>
        </w:tc>
        <w:tc>
          <w:tcPr>
            <w:tcW w:type="dxa" w:w="4844"/>
            <w:shd w:fill="667eea"/>
          </w:tcPr>
          <w:p>
            <w:r>
              <w:rPr>
                <w:b/>
                <w:color w:val="FFFFFF"/>
              </w:rPr>
              <w:t>Определение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RFM-анализ</w:t>
            </w:r>
          </w:p>
        </w:tc>
        <w:tc>
          <w:tcPr>
            <w:tcW w:type="dxa" w:w="4844"/>
          </w:tcPr>
          <w:p>
            <w:r>
              <w:t>Метод сегментации клиентов по трём параметрам: Recency (давность), Frequency (частота), Monetary (денежная ценность)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Recency (R)</w:t>
            </w:r>
          </w:p>
        </w:tc>
        <w:tc>
          <w:tcPr>
            <w:tcW w:type="dxa" w:w="4844"/>
          </w:tcPr>
          <w:p>
            <w:r>
              <w:t>Время с момента последней покупки клиента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Frequency (F)</w:t>
            </w:r>
          </w:p>
        </w:tc>
        <w:tc>
          <w:tcPr>
            <w:tcW w:type="dxa" w:w="4844"/>
          </w:tcPr>
          <w:p>
            <w:r>
              <w:t>Частота совершения покупок за период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Monetary (M)</w:t>
            </w:r>
          </w:p>
        </w:tc>
        <w:tc>
          <w:tcPr>
            <w:tcW w:type="dxa" w:w="4844"/>
          </w:tcPr>
          <w:p>
            <w:r>
              <w:t>Общая сумма покупок клиента за период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K-means</w:t>
            </w:r>
          </w:p>
        </w:tc>
        <w:tc>
          <w:tcPr>
            <w:tcW w:type="dxa" w:w="4844"/>
          </w:tcPr>
          <w:p>
            <w:r>
              <w:t>Алгоритм кластеризации, разбивающий данные на k групп с минимальной внутригрупповой дисперсией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Sankey-диаграмма</w:t>
            </w:r>
          </w:p>
        </w:tc>
        <w:tc>
          <w:tcPr>
            <w:tcW w:type="dxa" w:w="4844"/>
          </w:tcPr>
          <w:p>
            <w:r>
              <w:t>Тип визуализации потоков, где ширина линии пропорциональна величине потока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Heatmap</w:t>
            </w:r>
          </w:p>
        </w:tc>
        <w:tc>
          <w:tcPr>
            <w:tcW w:type="dxa" w:w="4844"/>
          </w:tcPr>
          <w:p>
            <w:r>
              <w:t>Тепловая карта — визуализация матрицы данных с помощью цветовой шкалы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YoY (Year over Year)</w:t>
            </w:r>
          </w:p>
        </w:tc>
        <w:tc>
          <w:tcPr>
            <w:tcW w:type="dxa" w:w="4844"/>
          </w:tcPr>
          <w:p>
            <w:r>
              <w:t>Сравнение показателя с аналогичным периодом прошлого года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Penetration</w:t>
            </w:r>
          </w:p>
        </w:tc>
        <w:tc>
          <w:tcPr>
            <w:tcW w:type="dxa" w:w="4844"/>
          </w:tcPr>
          <w:p>
            <w:r>
              <w:t>Доля клиентов, совершивших покупку в категории, от общего числа клиентов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Retention Rate</w:t>
            </w:r>
          </w:p>
        </w:tc>
        <w:tc>
          <w:tcPr>
            <w:tcW w:type="dxa" w:w="4844"/>
          </w:tcPr>
          <w:p>
            <w:r>
              <w:t>Коэффициент удержания клиентов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Churn Rate</w:t>
            </w:r>
          </w:p>
        </w:tc>
        <w:tc>
          <w:tcPr>
            <w:tcW w:type="dxa" w:w="4844"/>
          </w:tcPr>
          <w:p>
            <w:r>
              <w:t>Коэффициент оттока клиентов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CAGR</w:t>
            </w:r>
          </w:p>
        </w:tc>
        <w:tc>
          <w:tcPr>
            <w:tcW w:type="dxa" w:w="4844"/>
          </w:tcPr>
          <w:p>
            <w:r>
              <w:t>Compound Annual Growth Rate — среднегодовой темп роста</w:t>
            </w:r>
          </w:p>
        </w:tc>
      </w:tr>
    </w:tbl>
    <w:p/>
    <w:p/>
    <w:p>
      <w:pPr>
        <w:jc w:val="center"/>
      </w:pPr>
      <w:r>
        <w:rPr>
          <w:color w:val="969696"/>
          <w:sz w:val="20"/>
        </w:rPr>
        <w:t>— Конец документа —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