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PTW_LV — Offline-Capable Mobile Solution</w:t>
      </w:r>
    </w:p>
    <w:p>
      <w:pPr>
        <w:spacing w:after="60"/>
      </w:pPr>
      <w:r>
        <w:rPr>
          <w:i/>
          <w:iCs/>
          <w:sz w:val="26"/>
          <w:szCs w:val="26"/>
        </w:rPr>
        <w:t xml:space="preserve">Approach, Technology Stack &amp; Delivery Estimate</w:t>
      </w:r>
    </w:p>
    <w:p>
      <w:pPr>
        <w:spacing w:after="400"/>
      </w:pPr>
      <w:r>
        <w:rPr>
          <w:color w:val="555555"/>
          <w:sz w:val="20"/>
          <w:szCs w:val="20"/>
        </w:rPr>
        <w:t xml:space="preserve">Prepared for: PTW_LV Project  |  Team: 1 Senior Oracle APEX Developer + AI Pair (Claude)</w:t>
      </w:r>
    </w:p>
    <w:p>
      <w:pPr>
        <w:pStyle w:val="Heading1"/>
        <w:spacing w:after="140" w:before="280"/>
      </w:pPr>
      <w:r>
        <w:t xml:space="preserve">1. Purpose &amp; Scope</w:t>
      </w:r>
    </w:p>
    <w:p>
      <w:pPr>
        <w:spacing w:after="140"/>
      </w:pPr>
      <w:r>
        <w:rPr>
          <w:b w:val="false"/>
          <w:bCs w:val="false"/>
          <w:i w:val="false"/>
          <w:iCs w:val="false"/>
        </w:rPr>
        <w:t xml:space="preserve">The PTW_LV Permit-to-Work application currently runs on Oracle APEX 24. A new requirement was raised: field Engineers must be able to complete the entire permit lifecycle — create, control measures, isolation, authorise/accept, monitor, clear, and cancel, including photos, file attachments, and signatures — fully offline for extended periods (up to and beyond a full shift), with reliable sync on reconnect.</w:t>
      </w:r>
    </w:p>
    <w:p>
      <w:pPr>
        <w:spacing w:after="140"/>
      </w:pPr>
      <w:r>
        <w:rPr>
          <w:b w:val="false"/>
          <w:bCs w:val="false"/>
          <w:i w:val="false"/>
          <w:iCs w:val="false"/>
        </w:rPr>
        <w:t xml:space="preserve">An existing partial offline implementation (browser IndexedDB via a custom offline-storage.js module) was assessed and found not fit for purpose: several required actions (Clearance, Cancellation, photo upload on Cancel) have zero offline handling, and the browser storage approach carries known reliability risks on iOS (storage eviction, IndexedDB instability). This document sets out the recommended replacement approach, the tools involved and why, and a realistic delivery estimate.</w:t>
      </w:r>
    </w:p>
    <w:p>
      <w:pPr>
        <w:pStyle w:val="Heading1"/>
        <w:spacing w:after="140" w:before="280"/>
      </w:pPr>
      <w:r>
        <w:t xml:space="preserve">2. Current State — Confirmed Gaps</w:t>
      </w:r>
    </w:p>
    <w:p>
      <w:pPr>
        <w:pStyle w:val="ListParagraph"/>
        <w:numPr>
          <w:ilvl w:val="0"/>
          <w:numId w:val="1"/>
        </w:numPr>
        <w:spacing w:after="80"/>
      </w:pPr>
      <w:r>
        <w:t xml:space="preserve">Pages 1–5 (Dashboard through Authorisation) have a partial offline implementation (OfflineStorage / ConnectionManager, IndexedDB) with a working save-and-redirect pattern and a server-side SYNC_OFFLINE_DATA process — but no conflict detection and no child-table handling confirmed.</w:t>
      </w:r>
    </w:p>
    <w:p>
      <w:pPr>
        <w:pStyle w:val="ListParagraph"/>
        <w:numPr>
          <w:ilvl w:val="0"/>
          <w:numId w:val="1"/>
        </w:numPr>
        <w:spacing w:after="80"/>
      </w:pPr>
      <w:r>
        <w:t xml:space="preserve">Page 6 (Clearance &amp; Cancellation, consolidated build) has no offline handling at all.</w:t>
      </w:r>
    </w:p>
    <w:p>
      <w:pPr>
        <w:pStyle w:val="ListParagraph"/>
        <w:numPr>
          <w:ilvl w:val="0"/>
          <w:numId w:val="1"/>
        </w:numPr>
        <w:spacing w:after="80"/>
      </w:pPr>
      <w:r>
        <w:t xml:space="preserve">Page 17 (Cancel Permit) has no offline handling; its photo-required-on-"Not Complete" flow calls apex.server.process() synchronously with no offline fallback — this blocks the Engineer from completing a cancellation while offline, directly contradicting the requirement.</w:t>
      </w:r>
    </w:p>
    <w:p>
      <w:pPr>
        <w:pStyle w:val="ListParagraph"/>
        <w:numPr>
          <w:ilvl w:val="0"/>
          <w:numId w:val="1"/>
        </w:numPr>
        <w:spacing w:after="80"/>
      </w:pPr>
      <w:r>
        <w:t xml:space="preserve">Browser storage (IndexedDB/Cache API) is subject to iOS eviction (as early as 7 days of inactivity) and documented IndexedDB instability on iOS Safari — an unacceptable risk for safety-critical permit data, photos and signatures.</w:t>
      </w:r>
    </w:p>
    <w:p>
      <w:pPr>
        <w:spacing w:after="140"/>
      </w:pPr>
      <w:r>
        <w:rPr>
          <w:b w:val="false"/>
          <w:bCs w:val="false"/>
          <w:i w:val="false"/>
          <w:iCs w:val="false"/>
        </w:rPr>
        <w:t xml:space="preserve">Conclusion: extending the existing browser-storage approach is not the right foundation. A native-storage mobile client is recommended instead (Section 4).</w:t>
      </w:r>
    </w:p>
    <w:p>
      <w:pPr>
        <w:pStyle w:val="Heading1"/>
        <w:spacing w:after="140" w:before="280"/>
      </w:pPr>
      <w:r>
        <w:t xml:space="preserve">3. Recommended Approach — Summary</w:t>
      </w:r>
    </w:p>
    <w:p>
      <w:pPr>
        <w:spacing w:after="140"/>
      </w:pPr>
      <w:r>
        <w:rPr>
          <w:b w:val="false"/>
          <w:bCs w:val="false"/>
          <w:i w:val="false"/>
          <w:iCs w:val="false"/>
        </w:rPr>
        <w:t xml:space="preserve">Split the system into three tiers instead of trying to make one APEX codebase do both jobs:</w:t>
      </w:r>
    </w:p>
    <w:p>
      <w:pPr>
        <w:pStyle w:val="ListParagraph"/>
        <w:numPr>
          <w:ilvl w:val="0"/>
          <w:numId w:val="1"/>
        </w:numPr>
        <w:spacing w:after="80"/>
      </w:pPr>
      <w:r>
        <w:t xml:space="preserve">APEX (unchanged role): admin, permit search/reporting, desk-based supervisor review — where a live connection is the norm and APEX is the right tool.</w:t>
      </w:r>
    </w:p>
    <w:p>
      <w:pPr>
        <w:pStyle w:val="ListParagraph"/>
        <w:numPr>
          <w:ilvl w:val="0"/>
          <w:numId w:val="1"/>
        </w:numPr>
        <w:spacing w:after="80"/>
      </w:pPr>
      <w:r>
        <w:t xml:space="preserve">ORDS REST API layer: exposes the existing PL/SQL business logic (validations, workflow transitions, PDF generation) as REST endpoints — no business rules rewritten, only re-exposed.</w:t>
      </w:r>
    </w:p>
    <w:p>
      <w:pPr>
        <w:pStyle w:val="ListParagraph"/>
        <w:numPr>
          <w:ilvl w:val="0"/>
          <w:numId w:val="1"/>
        </w:numPr>
        <w:spacing w:after="80"/>
      </w:pPr>
      <w:r>
        <w:t xml:space="preserve">Native mobile client (Capacitor + native SQLite): owns the offline experience — local database, native file storage for photos, native secure storage for the device-bound credential, and a sync queue that replays against the ORDS API on reconnect.</w:t>
      </w:r>
    </w:p>
    <w:p>
      <w:pPr>
        <w:pStyle w:val="Heading1"/>
        <w:spacing w:after="140" w:before="280"/>
      </w:pPr>
      <w:r>
        <w:t xml:space="preserve">4. Tools &amp; Technology Stack</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5300"/>
      </w:tblGrid>
      <w:tr>
        <w:trPr>
          <w:tblHeader/>
        </w:trPr>
        <w:tc>
          <w:tcPr>
            <w:tcW w:type="dxa" w:w="1900"/>
            <w:shd w:fill="1F3864" w:color="auto" w:val="clear"/>
            <w:tcMar>
              <w:top w:type="dxa" w:w="80"/>
              <w:left w:type="dxa" w:w="100"/>
              <w:bottom w:type="dxa" w:w="80"/>
              <w:right w:type="dxa" w:w="100"/>
            </w:tcMar>
          </w:tcPr>
          <w:p>
            <w:r>
              <w:rPr>
                <w:b/>
                <w:bCs/>
                <w:color w:val="FFFFFF"/>
                <w:sz w:val="20"/>
                <w:szCs w:val="20"/>
              </w:rPr>
              <w:t xml:space="preserve">Layer</w:t>
            </w:r>
          </w:p>
        </w:tc>
        <w:tc>
          <w:tcPr>
            <w:tcW w:type="dxa" w:w="2900"/>
            <w:shd w:fill="1F3864" w:color="auto" w:val="clear"/>
            <w:tcMar>
              <w:top w:type="dxa" w:w="80"/>
              <w:left w:type="dxa" w:w="100"/>
              <w:bottom w:type="dxa" w:w="80"/>
              <w:right w:type="dxa" w:w="100"/>
            </w:tcMar>
          </w:tcPr>
          <w:p>
            <w:r>
              <w:rPr>
                <w:b/>
                <w:bCs/>
                <w:color w:val="FFFFFF"/>
                <w:sz w:val="20"/>
                <w:szCs w:val="20"/>
              </w:rPr>
              <w:t xml:space="preserve">Tool</w:t>
            </w:r>
          </w:p>
        </w:tc>
        <w:tc>
          <w:tcPr>
            <w:tcW w:type="dxa" w:w="5300"/>
            <w:shd w:fill="1F3864" w:color="auto" w:val="clear"/>
            <w:tcMar>
              <w:top w:type="dxa" w:w="80"/>
              <w:left w:type="dxa" w:w="100"/>
              <w:bottom w:type="dxa" w:w="80"/>
              <w:right w:type="dxa" w:w="100"/>
            </w:tcMar>
          </w:tcPr>
          <w:p>
            <w:r>
              <w:rPr>
                <w:b/>
                <w:bCs/>
                <w:color w:val="FFFFFF"/>
                <w:sz w:val="20"/>
                <w:szCs w:val="20"/>
              </w:rPr>
              <w:t xml:space="preserve">Why</w:t>
            </w:r>
          </w:p>
        </w:tc>
      </w:tr>
      <w:tr>
        <w:tc>
          <w:tcPr>
            <w:tcW w:type="dxa" w:w="1900"/>
            <w:tcMar>
              <w:top w:type="dxa" w:w="80"/>
              <w:left w:type="dxa" w:w="100"/>
              <w:bottom w:type="dxa" w:w="80"/>
              <w:right w:type="dxa" w:w="100"/>
            </w:tcMar>
          </w:tcPr>
          <w:p>
            <w:r>
              <w:rPr>
                <w:b w:val="false"/>
                <w:bCs w:val="false"/>
                <w:sz w:val="20"/>
                <w:szCs w:val="20"/>
              </w:rPr>
              <w:t xml:space="preserve">Backend logic</w:t>
            </w:r>
          </w:p>
        </w:tc>
        <w:tc>
          <w:tcPr>
            <w:tcW w:type="dxa" w:w="2900"/>
            <w:tcMar>
              <w:top w:type="dxa" w:w="80"/>
              <w:left w:type="dxa" w:w="100"/>
              <w:bottom w:type="dxa" w:w="80"/>
              <w:right w:type="dxa" w:w="100"/>
            </w:tcMar>
          </w:tcPr>
          <w:p>
            <w:r>
              <w:rPr>
                <w:b w:val="false"/>
                <w:bCs w:val="false"/>
                <w:sz w:val="20"/>
                <w:szCs w:val="20"/>
              </w:rPr>
              <w:t xml:space="preserve">PL/SQL (existing)</w:t>
            </w:r>
          </w:p>
        </w:tc>
        <w:tc>
          <w:tcPr>
            <w:tcW w:type="dxa" w:w="5300"/>
            <w:tcMar>
              <w:top w:type="dxa" w:w="80"/>
              <w:left w:type="dxa" w:w="100"/>
              <w:bottom w:type="dxa" w:w="80"/>
              <w:right w:type="dxa" w:w="100"/>
            </w:tcMar>
          </w:tcPr>
          <w:p>
            <w:r>
              <w:rPr>
                <w:b w:val="false"/>
                <w:bCs w:val="false"/>
                <w:sz w:val="20"/>
                <w:szCs w:val="20"/>
              </w:rPr>
              <w:t xml:space="preserve">No business logic is rewritten. Every validation (12-hr max, no self-authorisation, area-safe block, photo-required-on-cancel, etc.) already exists and is reused as-is.</w:t>
            </w:r>
          </w:p>
        </w:tc>
      </w:tr>
      <w:tr>
        <w:tc>
          <w:tcPr>
            <w:tcW w:type="dxa" w:w="1900"/>
            <w:tcMar>
              <w:top w:type="dxa" w:w="80"/>
              <w:left w:type="dxa" w:w="100"/>
              <w:bottom w:type="dxa" w:w="80"/>
              <w:right w:type="dxa" w:w="100"/>
            </w:tcMar>
          </w:tcPr>
          <w:p>
            <w:r>
              <w:rPr>
                <w:b w:val="false"/>
                <w:bCs w:val="false"/>
                <w:sz w:val="20"/>
                <w:szCs w:val="20"/>
              </w:rPr>
              <w:t xml:space="preserve">API layer</w:t>
            </w:r>
          </w:p>
        </w:tc>
        <w:tc>
          <w:tcPr>
            <w:tcW w:type="dxa" w:w="2900"/>
            <w:tcMar>
              <w:top w:type="dxa" w:w="80"/>
              <w:left w:type="dxa" w:w="100"/>
              <w:bottom w:type="dxa" w:w="80"/>
              <w:right w:type="dxa" w:w="100"/>
            </w:tcMar>
          </w:tcPr>
          <w:p>
            <w:r>
              <w:rPr>
                <w:b w:val="false"/>
                <w:bCs w:val="false"/>
                <w:sz w:val="20"/>
                <w:szCs w:val="20"/>
              </w:rPr>
              <w:t xml:space="preserve">Oracle ORDS — PL/SQL-backed Resource Modules</w:t>
            </w:r>
          </w:p>
        </w:tc>
        <w:tc>
          <w:tcPr>
            <w:tcW w:type="dxa" w:w="5300"/>
            <w:tcMar>
              <w:top w:type="dxa" w:w="80"/>
              <w:left w:type="dxa" w:w="100"/>
              <w:bottom w:type="dxa" w:w="80"/>
              <w:right w:type="dxa" w:w="100"/>
            </w:tcMar>
          </w:tcPr>
          <w:p>
            <w:r>
              <w:rPr>
                <w:b w:val="false"/>
                <w:bCs w:val="false"/>
                <w:sz w:val="20"/>
                <w:szCs w:val="20"/>
              </w:rPr>
              <w:t xml:space="preserve">Oracle's own guidance recommends Resource Modules (not AutoREST) whenever custom validation and PL/SQL control is required, which every write endpoint here needs. AutoREST would remove that control.</w:t>
            </w:r>
          </w:p>
        </w:tc>
      </w:tr>
      <w:tr>
        <w:tc>
          <w:tcPr>
            <w:tcW w:type="dxa" w:w="1900"/>
            <w:tcMar>
              <w:top w:type="dxa" w:w="80"/>
              <w:left w:type="dxa" w:w="100"/>
              <w:bottom w:type="dxa" w:w="80"/>
              <w:right w:type="dxa" w:w="100"/>
            </w:tcMar>
          </w:tcPr>
          <w:p>
            <w:r>
              <w:rPr>
                <w:b w:val="false"/>
                <w:bCs w:val="false"/>
                <w:sz w:val="20"/>
                <w:szCs w:val="20"/>
              </w:rPr>
              <w:t xml:space="preserve">API auth</w:t>
            </w:r>
          </w:p>
        </w:tc>
        <w:tc>
          <w:tcPr>
            <w:tcW w:type="dxa" w:w="2900"/>
            <w:tcMar>
              <w:top w:type="dxa" w:w="80"/>
              <w:left w:type="dxa" w:w="100"/>
              <w:bottom w:type="dxa" w:w="80"/>
              <w:right w:type="dxa" w:w="100"/>
            </w:tcMar>
          </w:tcPr>
          <w:p>
            <w:r>
              <w:rPr>
                <w:b w:val="false"/>
                <w:bCs w:val="false"/>
                <w:sz w:val="20"/>
                <w:szCs w:val="20"/>
              </w:rPr>
              <w:t xml:space="preserve">Custom bearer token tied to a device-registration table, validated per-request in ORDS</w:t>
            </w:r>
          </w:p>
        </w:tc>
        <w:tc>
          <w:tcPr>
            <w:tcW w:type="dxa" w:w="5300"/>
            <w:tcMar>
              <w:top w:type="dxa" w:w="80"/>
              <w:left w:type="dxa" w:w="100"/>
              <w:bottom w:type="dxa" w:w="80"/>
              <w:right w:type="dxa" w:w="100"/>
            </w:tcMar>
          </w:tcPr>
          <w:p>
            <w:r>
              <w:rPr>
                <w:b w:val="false"/>
                <w:bCs w:val="false"/>
                <w:sz w:val="20"/>
                <w:szCs w:val="20"/>
              </w:rPr>
              <w:t xml:space="preserve">ORDS OAuth2 client_credentials is app-level, not per-Engineer/per-device. A custom token tied to the device-binding design gives per-device issue/expiry/revocation, which the offline-login requirement depends on.</w:t>
            </w:r>
          </w:p>
        </w:tc>
      </w:tr>
      <w:tr>
        <w:tc>
          <w:tcPr>
            <w:tcW w:type="dxa" w:w="1900"/>
            <w:tcMar>
              <w:top w:type="dxa" w:w="80"/>
              <w:left w:type="dxa" w:w="100"/>
              <w:bottom w:type="dxa" w:w="80"/>
              <w:right w:type="dxa" w:w="100"/>
            </w:tcMar>
          </w:tcPr>
          <w:p>
            <w:r>
              <w:rPr>
                <w:b w:val="false"/>
                <w:bCs w:val="false"/>
                <w:sz w:val="20"/>
                <w:szCs w:val="20"/>
              </w:rPr>
              <w:t xml:space="preserve">Mobile shell</w:t>
            </w:r>
          </w:p>
        </w:tc>
        <w:tc>
          <w:tcPr>
            <w:tcW w:type="dxa" w:w="2900"/>
            <w:tcMar>
              <w:top w:type="dxa" w:w="80"/>
              <w:left w:type="dxa" w:w="100"/>
              <w:bottom w:type="dxa" w:w="80"/>
              <w:right w:type="dxa" w:w="100"/>
            </w:tcMar>
          </w:tcPr>
          <w:p>
            <w:r>
              <w:rPr>
                <w:b w:val="false"/>
                <w:bCs w:val="false"/>
                <w:sz w:val="20"/>
                <w:szCs w:val="20"/>
              </w:rPr>
              <w:t xml:space="preserve">Capacitor</w:t>
            </w:r>
          </w:p>
        </w:tc>
        <w:tc>
          <w:tcPr>
            <w:tcW w:type="dxa" w:w="5300"/>
            <w:tcMar>
              <w:top w:type="dxa" w:w="80"/>
              <w:left w:type="dxa" w:w="100"/>
              <w:bottom w:type="dxa" w:w="80"/>
              <w:right w:type="dxa" w:w="100"/>
            </w:tcMar>
          </w:tcPr>
          <w:p>
            <w:r>
              <w:rPr>
                <w:b w:val="false"/>
                <w:bCs w:val="false"/>
                <w:sz w:val="20"/>
                <w:szCs w:val="20"/>
              </w:rPr>
              <w:t xml:space="preserve">Reuses the team's existing JS/HTML/CSS skillset (fastest path for a web-experienced team, per current cross-platform tooling comparisons) rather than requiring Dart (Flutter) or native Swift/Kotlin.</w:t>
            </w:r>
          </w:p>
        </w:tc>
      </w:tr>
      <w:tr>
        <w:tc>
          <w:tcPr>
            <w:tcW w:type="dxa" w:w="1900"/>
            <w:tcMar>
              <w:top w:type="dxa" w:w="80"/>
              <w:left w:type="dxa" w:w="100"/>
              <w:bottom w:type="dxa" w:w="80"/>
              <w:right w:type="dxa" w:w="100"/>
            </w:tcMar>
          </w:tcPr>
          <w:p>
            <w:r>
              <w:rPr>
                <w:b w:val="false"/>
                <w:bCs w:val="false"/>
                <w:sz w:val="20"/>
                <w:szCs w:val="20"/>
              </w:rPr>
              <w:t xml:space="preserve">Local storage</w:t>
            </w:r>
          </w:p>
        </w:tc>
        <w:tc>
          <w:tcPr>
            <w:tcW w:type="dxa" w:w="2900"/>
            <w:tcMar>
              <w:top w:type="dxa" w:w="80"/>
              <w:left w:type="dxa" w:w="100"/>
              <w:bottom w:type="dxa" w:w="80"/>
              <w:right w:type="dxa" w:w="100"/>
            </w:tcMar>
          </w:tcPr>
          <w:p>
            <w:r>
              <w:rPr>
                <w:b w:val="false"/>
                <w:bCs w:val="false"/>
                <w:sz w:val="20"/>
                <w:szCs w:val="20"/>
              </w:rPr>
              <w:t xml:space="preserve">Native SQLite via a Capacitor SQLite plugin (not Capacitor's default web-storage fallback)</w:t>
            </w:r>
          </w:p>
        </w:tc>
        <w:tc>
          <w:tcPr>
            <w:tcW w:type="dxa" w:w="5300"/>
            <w:tcMar>
              <w:top w:type="dxa" w:w="80"/>
              <w:left w:type="dxa" w:w="100"/>
              <w:bottom w:type="dxa" w:w="80"/>
              <w:right w:type="dxa" w:w="100"/>
            </w:tcMar>
          </w:tcPr>
          <w:p>
            <w:r>
              <w:rPr>
                <w:b w:val="false"/>
                <w:bCs w:val="false"/>
                <w:sz w:val="20"/>
                <w:szCs w:val="20"/>
              </w:rPr>
              <w:t xml:space="preserve">Native SQLite is the only reliable persistent storage on mobile — avoids the iOS IndexedDB eviction/instability risk identified in Section 2. Plain Capacitor without this plugin falls back to IndexedDB, which must be explicitly avoided.</w:t>
            </w:r>
          </w:p>
        </w:tc>
      </w:tr>
      <w:tr>
        <w:tc>
          <w:tcPr>
            <w:tcW w:type="dxa" w:w="1900"/>
            <w:tcMar>
              <w:top w:type="dxa" w:w="80"/>
              <w:left w:type="dxa" w:w="100"/>
              <w:bottom w:type="dxa" w:w="80"/>
              <w:right w:type="dxa" w:w="100"/>
            </w:tcMar>
          </w:tcPr>
          <w:p>
            <w:r>
              <w:rPr>
                <w:b w:val="false"/>
                <w:bCs w:val="false"/>
                <w:sz w:val="20"/>
                <w:szCs w:val="20"/>
              </w:rPr>
              <w:t xml:space="preserve">Photo/file storage</w:t>
            </w:r>
          </w:p>
        </w:tc>
        <w:tc>
          <w:tcPr>
            <w:tcW w:type="dxa" w:w="2900"/>
            <w:tcMar>
              <w:top w:type="dxa" w:w="80"/>
              <w:left w:type="dxa" w:w="100"/>
              <w:bottom w:type="dxa" w:w="80"/>
              <w:right w:type="dxa" w:w="100"/>
            </w:tcMar>
          </w:tcPr>
          <w:p>
            <w:r>
              <w:rPr>
                <w:b w:val="false"/>
                <w:bCs w:val="false"/>
                <w:sz w:val="20"/>
                <w:szCs w:val="20"/>
              </w:rPr>
              <w:t xml:space="preserve">Native Filesystem (Capacitor Filesystem API)</w:t>
            </w:r>
          </w:p>
        </w:tc>
        <w:tc>
          <w:tcPr>
            <w:tcW w:type="dxa" w:w="5300"/>
            <w:tcMar>
              <w:top w:type="dxa" w:w="80"/>
              <w:left w:type="dxa" w:w="100"/>
              <w:bottom w:type="dxa" w:w="80"/>
              <w:right w:type="dxa" w:w="100"/>
            </w:tcMar>
          </w:tcPr>
          <w:p>
            <w:r>
              <w:rPr>
                <w:b w:val="false"/>
                <w:bCs w:val="false"/>
                <w:sz w:val="20"/>
                <w:szCs w:val="20"/>
              </w:rPr>
              <w:t xml:space="preserve">Keeps large binary photo/file data out of the SQLite row store and off the browser storage quota entirely.</w:t>
            </w:r>
          </w:p>
        </w:tc>
      </w:tr>
      <w:tr>
        <w:tc>
          <w:tcPr>
            <w:tcW w:type="dxa" w:w="1900"/>
            <w:tcMar>
              <w:top w:type="dxa" w:w="80"/>
              <w:left w:type="dxa" w:w="100"/>
              <w:bottom w:type="dxa" w:w="80"/>
              <w:right w:type="dxa" w:w="100"/>
            </w:tcMar>
          </w:tcPr>
          <w:p>
            <w:r>
              <w:rPr>
                <w:b w:val="false"/>
                <w:bCs w:val="false"/>
                <w:sz w:val="20"/>
                <w:szCs w:val="20"/>
              </w:rPr>
              <w:t xml:space="preserve">Device credential storage</w:t>
            </w:r>
          </w:p>
        </w:tc>
        <w:tc>
          <w:tcPr>
            <w:tcW w:type="dxa" w:w="2900"/>
            <w:tcMar>
              <w:top w:type="dxa" w:w="80"/>
              <w:left w:type="dxa" w:w="100"/>
              <w:bottom w:type="dxa" w:w="80"/>
              <w:right w:type="dxa" w:w="100"/>
            </w:tcMar>
          </w:tcPr>
          <w:p>
            <w:r>
              <w:rPr>
                <w:b w:val="false"/>
                <w:bCs w:val="false"/>
                <w:sz w:val="20"/>
                <w:szCs w:val="20"/>
              </w:rPr>
              <w:t xml:space="preserve">Native Keychain (iOS) / Keystore (Android) via a Capacitor secure-storage plugin</w:t>
            </w:r>
          </w:p>
        </w:tc>
        <w:tc>
          <w:tcPr>
            <w:tcW w:type="dxa" w:w="5300"/>
            <w:tcMar>
              <w:top w:type="dxa" w:w="80"/>
              <w:left w:type="dxa" w:w="100"/>
              <w:bottom w:type="dxa" w:w="80"/>
              <w:right w:type="dxa" w:w="100"/>
            </w:tcMar>
          </w:tcPr>
          <w:p>
            <w:r>
              <w:rPr>
                <w:b w:val="false"/>
                <w:bCs w:val="false"/>
                <w:sz w:val="20"/>
                <w:szCs w:val="20"/>
              </w:rPr>
              <w:t xml:space="preserve">Hardware-backed secure storage for the device-bound offline-login credential — materially stronger than anything achievable in a browser sandbox.</w:t>
            </w:r>
          </w:p>
        </w:tc>
      </w:tr>
      <w:tr>
        <w:tc>
          <w:tcPr>
            <w:tcW w:type="dxa" w:w="1900"/>
            <w:tcMar>
              <w:top w:type="dxa" w:w="80"/>
              <w:left w:type="dxa" w:w="100"/>
              <w:bottom w:type="dxa" w:w="80"/>
              <w:right w:type="dxa" w:w="100"/>
            </w:tcMar>
          </w:tcPr>
          <w:p>
            <w:r>
              <w:rPr>
                <w:b w:val="false"/>
                <w:bCs w:val="false"/>
                <w:sz w:val="20"/>
                <w:szCs w:val="20"/>
              </w:rPr>
              <w:t xml:space="preserve">Signatures</w:t>
            </w:r>
          </w:p>
        </w:tc>
        <w:tc>
          <w:tcPr>
            <w:tcW w:type="dxa" w:w="2900"/>
            <w:tcMar>
              <w:top w:type="dxa" w:w="80"/>
              <w:left w:type="dxa" w:w="100"/>
              <w:bottom w:type="dxa" w:w="80"/>
              <w:right w:type="dxa" w:w="100"/>
            </w:tcMar>
          </w:tcPr>
          <w:p>
            <w:r>
              <w:rPr>
                <w:b w:val="false"/>
                <w:bCs w:val="false"/>
                <w:sz w:val="20"/>
                <w:szCs w:val="20"/>
              </w:rPr>
              <w:t xml:space="preserve">HTML canvas (existing SignaturePad library, already in use)</w:t>
            </w:r>
          </w:p>
        </w:tc>
        <w:tc>
          <w:tcPr>
            <w:tcW w:type="dxa" w:w="5300"/>
            <w:tcMar>
              <w:top w:type="dxa" w:w="80"/>
              <w:left w:type="dxa" w:w="100"/>
              <w:bottom w:type="dxa" w:w="80"/>
              <w:right w:type="dxa" w:w="100"/>
            </w:tcMar>
          </w:tcPr>
          <w:p>
            <w:r>
              <w:rPr>
                <w:b w:val="false"/>
                <w:bCs w:val="false"/>
                <w:sz w:val="20"/>
                <w:szCs w:val="20"/>
              </w:rPr>
              <w:t xml:space="preserve">No change needed — canvas-based signature capture has no server dependency and works identically inside the Capacitor WebView.</w:t>
            </w:r>
          </w:p>
        </w:tc>
      </w:tr>
    </w:tbl>
    <w:p>
      <w:pPr>
        <w:pStyle w:val="Heading1"/>
        <w:spacing w:after="140" w:before="280"/>
      </w:pPr>
      <w:r>
        <w:t xml:space="preserve">5. Alternatives Considered &amp; Rejected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Option</w:t>
            </w:r>
          </w:p>
        </w:tc>
        <w:tc>
          <w:tcPr>
            <w:tcW w:type="dxa" w:w="6900"/>
            <w:shd w:fill="1F3864" w:color="auto" w:val="clear"/>
            <w:tcMar>
              <w:top w:type="dxa" w:w="80"/>
              <w:left w:type="dxa" w:w="100"/>
              <w:bottom w:type="dxa" w:w="80"/>
              <w:right w:type="dxa" w:w="100"/>
            </w:tcMar>
          </w:tcPr>
          <w:p>
            <w:r>
              <w:rPr>
                <w:b/>
                <w:bCs/>
                <w:color w:val="FFFFFF"/>
                <w:sz w:val="20"/>
                <w:szCs w:val="20"/>
              </w:rPr>
              <w:t xml:space="preserve">Why rejected</w:t>
            </w:r>
          </w:p>
        </w:tc>
      </w:tr>
      <w:tr>
        <w:tc>
          <w:tcPr>
            <w:tcW w:type="dxa" w:w="3200"/>
            <w:tcMar>
              <w:top w:type="dxa" w:w="80"/>
              <w:left w:type="dxa" w:w="100"/>
              <w:bottom w:type="dxa" w:w="80"/>
              <w:right w:type="dxa" w:w="100"/>
            </w:tcMar>
          </w:tcPr>
          <w:p>
            <w:r>
              <w:rPr>
                <w:b w:val="false"/>
                <w:bCs w:val="false"/>
                <w:sz w:val="20"/>
                <w:szCs w:val="20"/>
              </w:rPr>
              <w:t xml:space="preserve">Extend the existing APEX PWA / IndexedDB implementation</w:t>
            </w:r>
          </w:p>
        </w:tc>
        <w:tc>
          <w:tcPr>
            <w:tcW w:type="dxa" w:w="6900"/>
            <w:tcMar>
              <w:top w:type="dxa" w:w="80"/>
              <w:left w:type="dxa" w:w="100"/>
              <w:bottom w:type="dxa" w:w="80"/>
              <w:right w:type="dxa" w:w="100"/>
            </w:tcMar>
          </w:tcPr>
          <w:p>
            <w:r>
              <w:rPr>
                <w:b w:val="false"/>
                <w:bCs w:val="false"/>
                <w:sz w:val="20"/>
                <w:szCs w:val="20"/>
              </w:rPr>
              <w:t xml:space="preserve">Confirmed inadequate (Section 2) — multiple required actions have no offline path, and browser storage has known iOS reliability risk unacceptable for safety-critical, signed permit records.</w:t>
            </w:r>
          </w:p>
        </w:tc>
      </w:tr>
      <w:tr>
        <w:tc>
          <w:tcPr>
            <w:tcW w:type="dxa" w:w="3200"/>
            <w:tcMar>
              <w:top w:type="dxa" w:w="80"/>
              <w:left w:type="dxa" w:w="100"/>
              <w:bottom w:type="dxa" w:w="80"/>
              <w:right w:type="dxa" w:w="100"/>
            </w:tcMar>
          </w:tcPr>
          <w:p>
            <w:r>
              <w:rPr>
                <w:b w:val="false"/>
                <w:bCs w:val="false"/>
                <w:sz w:val="20"/>
                <w:szCs w:val="20"/>
              </w:rPr>
              <w:t xml:space="preserve">Flutter</w:t>
            </w:r>
          </w:p>
        </w:tc>
        <w:tc>
          <w:tcPr>
            <w:tcW w:type="dxa" w:w="6900"/>
            <w:tcMar>
              <w:top w:type="dxa" w:w="80"/>
              <w:left w:type="dxa" w:w="100"/>
              <w:bottom w:type="dxa" w:w="80"/>
              <w:right w:type="dxa" w:w="100"/>
            </w:tcMar>
          </w:tcPr>
          <w:p>
            <w:r>
              <w:rPr>
                <w:b w:val="false"/>
                <w:bCs w:val="false"/>
                <w:sz w:val="20"/>
                <w:szCs w:val="20"/>
              </w:rPr>
              <w:t xml:space="preserve">Technically strong offline ecosystem (sqflite, Hive) and a higher UI performance ceiling, but requires the team to learn Dart. Team-skill alignment is the strongest predictor of delivery success for a 2-person team; Capacitor keeps the team in JS.</w:t>
            </w:r>
          </w:p>
        </w:tc>
      </w:tr>
      <w:tr>
        <w:tc>
          <w:tcPr>
            <w:tcW w:type="dxa" w:w="3200"/>
            <w:tcMar>
              <w:top w:type="dxa" w:w="80"/>
              <w:left w:type="dxa" w:w="100"/>
              <w:bottom w:type="dxa" w:w="80"/>
              <w:right w:type="dxa" w:w="100"/>
            </w:tcMar>
          </w:tcPr>
          <w:p>
            <w:r>
              <w:rPr>
                <w:b w:val="false"/>
                <w:bCs w:val="false"/>
                <w:sz w:val="20"/>
                <w:szCs w:val="20"/>
              </w:rPr>
              <w:t xml:space="preserve">Fully native (Swift + Kotlin, two separate codebases)</w:t>
            </w:r>
          </w:p>
        </w:tc>
        <w:tc>
          <w:tcPr>
            <w:tcW w:type="dxa" w:w="6900"/>
            <w:tcMar>
              <w:top w:type="dxa" w:w="80"/>
              <w:left w:type="dxa" w:w="100"/>
              <w:bottom w:type="dxa" w:w="80"/>
              <w:right w:type="dxa" w:w="100"/>
            </w:tcMar>
          </w:tcPr>
          <w:p>
            <w:r>
              <w:rPr>
                <w:b w:val="false"/>
                <w:bCs w:val="false"/>
                <w:sz w:val="20"/>
                <w:szCs w:val="20"/>
              </w:rPr>
              <w:t xml:space="preserve">Best possible native performance and storage guarantees, but doubles build/maintenance effort for a 2-person team and offers no meaningful benefit for a forms/photo/signature app (not animation- or hardware-intensive).</w:t>
            </w:r>
          </w:p>
        </w:tc>
      </w:tr>
    </w:tbl>
    <w:p>
      <w:pPr>
        <w:pStyle w:val="Heading1"/>
        <w:spacing w:after="140" w:before="280"/>
      </w:pPr>
      <w:r>
        <w:t xml:space="preserve">6. Architecture Overview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1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Tier</w:t>
            </w:r>
          </w:p>
        </w:tc>
        <w:tc>
          <w:tcPr>
            <w:tcW w:type="dxa" w:w="2400"/>
            <w:shd w:fill="1F3864" w:color="auto" w:val="clear"/>
            <w:tcMar>
              <w:top w:type="dxa" w:w="80"/>
              <w:left w:type="dxa" w:w="100"/>
              <w:bottom w:type="dxa" w:w="80"/>
              <w:right w:type="dxa" w:w="100"/>
            </w:tcMar>
          </w:tcPr>
          <w:p>
            <w:r>
              <w:rPr>
                <w:b/>
                <w:bCs/>
                <w:color w:val="FFFFFF"/>
                <w:sz w:val="20"/>
                <w:szCs w:val="20"/>
              </w:rPr>
              <w:t xml:space="preserve">Runs where</w:t>
            </w:r>
          </w:p>
        </w:tc>
        <w:tc>
          <w:tcPr>
            <w:tcW w:type="dxa" w:w="5100"/>
            <w:shd w:fill="1F3864" w:color="auto" w:val="clear"/>
            <w:tcMar>
              <w:top w:type="dxa" w:w="80"/>
              <w:left w:type="dxa" w:w="100"/>
              <w:bottom w:type="dxa" w:w="80"/>
              <w:right w:type="dxa" w:w="100"/>
            </w:tcMar>
          </w:tcPr>
          <w:p>
            <w:r>
              <w:rPr>
                <w:b/>
                <w:bCs/>
                <w:color w:val="FFFFFF"/>
                <w:sz w:val="20"/>
                <w:szCs w:val="20"/>
              </w:rPr>
              <w:t xml:space="preserve">Responsibility</w:t>
            </w:r>
          </w:p>
        </w:tc>
      </w:tr>
      <w:tr>
        <w:tc>
          <w:tcPr>
            <w:tcW w:type="dxa" w:w="2600"/>
            <w:tcMar>
              <w:top w:type="dxa" w:w="80"/>
              <w:left w:type="dxa" w:w="100"/>
              <w:bottom w:type="dxa" w:w="80"/>
              <w:right w:type="dxa" w:w="100"/>
            </w:tcMar>
          </w:tcPr>
          <w:p>
            <w:r>
              <w:rPr>
                <w:b w:val="false"/>
                <w:bCs w:val="false"/>
                <w:sz w:val="20"/>
                <w:szCs w:val="20"/>
              </w:rPr>
              <w:t xml:space="preserve">APEX 24 app (existing)</w:t>
            </w:r>
          </w:p>
        </w:tc>
        <w:tc>
          <w:tcPr>
            <w:tcW w:type="dxa" w:w="2400"/>
            <w:tcMar>
              <w:top w:type="dxa" w:w="80"/>
              <w:left w:type="dxa" w:w="100"/>
              <w:bottom w:type="dxa" w:w="80"/>
              <w:right w:type="dxa" w:w="100"/>
            </w:tcMar>
          </w:tcPr>
          <w:p>
            <w:r>
              <w:rPr>
                <w:b w:val="false"/>
                <w:bCs w:val="false"/>
                <w:sz w:val="20"/>
                <w:szCs w:val="20"/>
              </w:rPr>
              <w:t xml:space="preserve">Oracle Database / APEX engine</w:t>
            </w:r>
          </w:p>
        </w:tc>
        <w:tc>
          <w:tcPr>
            <w:tcW w:type="dxa" w:w="5100"/>
            <w:tcMar>
              <w:top w:type="dxa" w:w="80"/>
              <w:left w:type="dxa" w:w="100"/>
              <w:bottom w:type="dxa" w:w="80"/>
              <w:right w:type="dxa" w:w="100"/>
            </w:tcMar>
          </w:tcPr>
          <w:p>
            <w:r>
              <w:rPr>
                <w:b w:val="false"/>
                <w:bCs w:val="false"/>
                <w:sz w:val="20"/>
                <w:szCs w:val="20"/>
              </w:rPr>
              <w:t xml:space="preserve">Admin, permit search &amp; reporting, supervisor desk-based review. Unchanged.</w:t>
            </w:r>
          </w:p>
        </w:tc>
      </w:tr>
      <w:tr>
        <w:tc>
          <w:tcPr>
            <w:tcW w:type="dxa" w:w="2600"/>
            <w:tcMar>
              <w:top w:type="dxa" w:w="80"/>
              <w:left w:type="dxa" w:w="100"/>
              <w:bottom w:type="dxa" w:w="80"/>
              <w:right w:type="dxa" w:w="100"/>
            </w:tcMar>
          </w:tcPr>
          <w:p>
            <w:r>
              <w:rPr>
                <w:b w:val="false"/>
                <w:bCs w:val="false"/>
                <w:sz w:val="20"/>
                <w:szCs w:val="20"/>
              </w:rPr>
              <w:t xml:space="preserve">ORDS REST API (new)</w:t>
            </w:r>
          </w:p>
        </w:tc>
        <w:tc>
          <w:tcPr>
            <w:tcW w:type="dxa" w:w="2400"/>
            <w:tcMar>
              <w:top w:type="dxa" w:w="80"/>
              <w:left w:type="dxa" w:w="100"/>
              <w:bottom w:type="dxa" w:w="80"/>
              <w:right w:type="dxa" w:w="100"/>
            </w:tcMar>
          </w:tcPr>
          <w:p>
            <w:r>
              <w:rPr>
                <w:b w:val="false"/>
                <w:bCs w:val="false"/>
                <w:sz w:val="20"/>
                <w:szCs w:val="20"/>
              </w:rPr>
              <w:t xml:space="preserve">Oracle Database (ORDS)</w:t>
            </w:r>
          </w:p>
        </w:tc>
        <w:tc>
          <w:tcPr>
            <w:tcW w:type="dxa" w:w="5100"/>
            <w:tcMar>
              <w:top w:type="dxa" w:w="80"/>
              <w:left w:type="dxa" w:w="100"/>
              <w:bottom w:type="dxa" w:w="80"/>
              <w:right w:type="dxa" w:w="100"/>
            </w:tcMar>
          </w:tcPr>
          <w:p>
            <w:r>
              <w:rPr>
                <w:b w:val="false"/>
                <w:bCs w:val="false"/>
                <w:sz w:val="20"/>
                <w:szCs w:val="20"/>
              </w:rPr>
              <w:t xml:space="preserve">Resource endpoints wrapping existing PL/SQL: create/update permit + all workflow actions, photo upload, lookups, device registration &amp; token validation.</w:t>
            </w:r>
          </w:p>
        </w:tc>
      </w:tr>
      <w:tr>
        <w:tc>
          <w:tcPr>
            <w:tcW w:type="dxa" w:w="2600"/>
            <w:tcMar>
              <w:top w:type="dxa" w:w="80"/>
              <w:left w:type="dxa" w:w="100"/>
              <w:bottom w:type="dxa" w:w="80"/>
              <w:right w:type="dxa" w:w="100"/>
            </w:tcMar>
          </w:tcPr>
          <w:p>
            <w:r>
              <w:rPr>
                <w:b w:val="false"/>
                <w:bCs w:val="false"/>
                <w:sz w:val="20"/>
                <w:szCs w:val="20"/>
              </w:rPr>
              <w:t xml:space="preserve">Capacitor mobile app (new)</w:t>
            </w:r>
          </w:p>
        </w:tc>
        <w:tc>
          <w:tcPr>
            <w:tcW w:type="dxa" w:w="2400"/>
            <w:tcMar>
              <w:top w:type="dxa" w:w="80"/>
              <w:left w:type="dxa" w:w="100"/>
              <w:bottom w:type="dxa" w:w="80"/>
              <w:right w:type="dxa" w:w="100"/>
            </w:tcMar>
          </w:tcPr>
          <w:p>
            <w:r>
              <w:rPr>
                <w:b w:val="false"/>
                <w:bCs w:val="false"/>
                <w:sz w:val="20"/>
                <w:szCs w:val="20"/>
              </w:rPr>
              <w:t xml:space="preserve">Engineer's iOS / Android device</w:t>
            </w:r>
          </w:p>
        </w:tc>
        <w:tc>
          <w:tcPr>
            <w:tcW w:type="dxa" w:w="5100"/>
            <w:tcMar>
              <w:top w:type="dxa" w:w="80"/>
              <w:left w:type="dxa" w:w="100"/>
              <w:bottom w:type="dxa" w:w="80"/>
              <w:right w:type="dxa" w:w="100"/>
            </w:tcMar>
          </w:tcPr>
          <w:p>
            <w:r>
              <w:rPr>
                <w:b w:val="false"/>
                <w:bCs w:val="false"/>
                <w:sz w:val="20"/>
                <w:szCs w:val="20"/>
              </w:rPr>
              <w:t xml:space="preserve">Full offline permit workflow: local SQLite data, native file storage for photos, native secure credential storage, outbox sync queue, conflict flagging.</w:t>
            </w:r>
          </w:p>
        </w:tc>
      </w:tr>
    </w:tbl>
    <w:p>
      <w:pPr>
        <w:spacing w:after="140"/>
      </w:pPr>
      <w:r>
        <w:rPr>
          <w:b w:val="false"/>
          <w:bCs w:val="false"/>
          <w:i w:val="false"/>
          <w:iCs w:val="false"/>
        </w:rPr>
        <w:t xml:space="preserve">Data flow: Engineer completes work offline → written to native SQLite + Filesystem immediately (optimistic UI, permit shown with an "Offline / Pending Sync" badge) → on reconnect, queued actions replay against ORDS in order, each carrying the record's last-known modified_date → server accepts or flags a conflict for human review; conflicts never resolve silently.</w:t>
      </w:r>
    </w:p>
    <w:p>
      <w:pPr>
        <w:pStyle w:val="Heading1"/>
        <w:spacing w:after="140" w:before="280"/>
      </w:pPr>
      <w:r>
        <w:t xml:space="preserve">7. Delivery Plan &amp; Time Estimate</w:t>
      </w:r>
    </w:p>
    <w:p>
      <w:pPr>
        <w:spacing w:after="140"/>
      </w:pPr>
      <w:r>
        <w:rPr>
          <w:b w:val="false"/>
          <w:bCs w:val="false"/>
          <w:i/>
          <w:iCs/>
        </w:rPr>
        <w:t xml:space="preserve">Assumptions: one senior Oracle APEX/PL/SQL developer (you) working substantially full-time on this, paired with AI for code generation, code review, and test-case design. Estimates are elapsed working days for a 2-person team, not raw coding time — review, physical-device testing, and deployment are the actual bottleneck, not code generation. Figures exclude App Store / Play Store review wait time (outside team control) and client feedback/rework cycles.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20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Phase</w:t>
            </w:r>
          </w:p>
        </w:tc>
        <w:tc>
          <w:tcPr>
            <w:tcW w:type="dxa" w:w="5500"/>
            <w:shd w:fill="1F3864" w:color="auto" w:val="clear"/>
            <w:tcMar>
              <w:top w:type="dxa" w:w="80"/>
              <w:left w:type="dxa" w:w="100"/>
              <w:bottom w:type="dxa" w:w="80"/>
              <w:right w:type="dxa" w:w="100"/>
            </w:tcMar>
          </w:tcPr>
          <w:p>
            <w:r>
              <w:rPr>
                <w:b/>
                <w:bCs/>
                <w:color w:val="FFFFFF"/>
                <w:sz w:val="20"/>
                <w:szCs w:val="20"/>
              </w:rPr>
              <w:t xml:space="preserve">Scope</w:t>
            </w:r>
          </w:p>
        </w:tc>
        <w:tc>
          <w:tcPr>
            <w:tcW w:type="dxa" w:w="2000"/>
            <w:shd w:fill="1F3864" w:color="auto" w:val="clear"/>
            <w:tcMar>
              <w:top w:type="dxa" w:w="80"/>
              <w:left w:type="dxa" w:w="100"/>
              <w:bottom w:type="dxa" w:w="80"/>
              <w:right w:type="dxa" w:w="100"/>
            </w:tcMar>
          </w:tcPr>
          <w:p>
            <w:r>
              <w:rPr>
                <w:b/>
                <w:bCs/>
                <w:color w:val="FFFFFF"/>
                <w:sz w:val="20"/>
                <w:szCs w:val="20"/>
              </w:rPr>
              <w:t xml:space="preserve">Est. Duration</w:t>
            </w:r>
          </w:p>
        </w:tc>
      </w:tr>
      <w:tr>
        <w:tc>
          <w:tcPr>
            <w:tcW w:type="dxa" w:w="2600"/>
            <w:tcMar>
              <w:top w:type="dxa" w:w="80"/>
              <w:left w:type="dxa" w:w="100"/>
              <w:bottom w:type="dxa" w:w="80"/>
              <w:right w:type="dxa" w:w="100"/>
            </w:tcMar>
          </w:tcPr>
          <w:p>
            <w:r>
              <w:rPr>
                <w:b w:val="false"/>
                <w:bCs w:val="false"/>
                <w:sz w:val="20"/>
                <w:szCs w:val="20"/>
              </w:rPr>
              <w:t xml:space="preserve">0. Decisions &amp; design sign-off</w:t>
            </w:r>
          </w:p>
        </w:tc>
        <w:tc>
          <w:tcPr>
            <w:tcW w:type="dxa" w:w="5500"/>
            <w:tcMar>
              <w:top w:type="dxa" w:w="80"/>
              <w:left w:type="dxa" w:w="100"/>
              <w:bottom w:type="dxa" w:w="80"/>
              <w:right w:type="dxa" w:w="100"/>
            </w:tcMar>
          </w:tcPr>
          <w:p>
            <w:r>
              <w:rPr>
                <w:b w:val="false"/>
                <w:bCs w:val="false"/>
                <w:sz w:val="20"/>
                <w:szCs w:val="20"/>
              </w:rPr>
              <w:t xml:space="preserve">Auth token model, ORDS resource map, offline conflict policy, storage plugin selection — all confirmed in this conversation, formalised into a spec.</w:t>
            </w:r>
          </w:p>
        </w:tc>
        <w:tc>
          <w:tcPr>
            <w:tcW w:type="dxa" w:w="2000"/>
            <w:tcMar>
              <w:top w:type="dxa" w:w="80"/>
              <w:left w:type="dxa" w:w="100"/>
              <w:bottom w:type="dxa" w:w="80"/>
              <w:right w:type="dxa" w:w="100"/>
            </w:tcMar>
          </w:tcPr>
          <w:p>
            <w:r>
              <w:rPr>
                <w:b w:val="false"/>
                <w:bCs w:val="false"/>
                <w:sz w:val="20"/>
                <w:szCs w:val="20"/>
              </w:rPr>
              <w:t xml:space="preserve">3 days</w:t>
            </w:r>
          </w:p>
        </w:tc>
      </w:tr>
      <w:tr>
        <w:tc>
          <w:tcPr>
            <w:tcW w:type="dxa" w:w="2600"/>
            <w:tcMar>
              <w:top w:type="dxa" w:w="80"/>
              <w:left w:type="dxa" w:w="100"/>
              <w:bottom w:type="dxa" w:w="80"/>
              <w:right w:type="dxa" w:w="100"/>
            </w:tcMar>
          </w:tcPr>
          <w:p>
            <w:r>
              <w:rPr>
                <w:b w:val="false"/>
                <w:bCs w:val="false"/>
                <w:sz w:val="20"/>
                <w:szCs w:val="20"/>
              </w:rPr>
              <w:t xml:space="preserve">1. ORDS REST API layer</w:t>
            </w:r>
          </w:p>
        </w:tc>
        <w:tc>
          <w:tcPr>
            <w:tcW w:type="dxa" w:w="5500"/>
            <w:tcMar>
              <w:top w:type="dxa" w:w="80"/>
              <w:left w:type="dxa" w:w="100"/>
              <w:bottom w:type="dxa" w:w="80"/>
              <w:right w:type="dxa" w:w="100"/>
            </w:tcMar>
          </w:tcPr>
          <w:p>
            <w:r>
              <w:rPr>
                <w:b w:val="false"/>
                <w:bCs w:val="false"/>
                <w:sz w:val="20"/>
                <w:szCs w:val="20"/>
              </w:rPr>
              <w:t xml:space="preserve">All resource modules (permits, control measures, isolation, authorise, monitoring, clear, suspend/resume, cancel+photo, photos, lookups) + device-bound bearer-token auth &amp; revocation.</w:t>
            </w:r>
          </w:p>
        </w:tc>
        <w:tc>
          <w:tcPr>
            <w:tcW w:type="dxa" w:w="2000"/>
            <w:tcMar>
              <w:top w:type="dxa" w:w="80"/>
              <w:left w:type="dxa" w:w="100"/>
              <w:bottom w:type="dxa" w:w="80"/>
              <w:right w:type="dxa" w:w="100"/>
            </w:tcMar>
          </w:tcPr>
          <w:p>
            <w:r>
              <w:rPr>
                <w:b w:val="false"/>
                <w:bCs w:val="false"/>
                <w:sz w:val="20"/>
                <w:szCs w:val="20"/>
              </w:rPr>
              <w:t xml:space="preserve">15 days</w:t>
            </w:r>
          </w:p>
        </w:tc>
      </w:tr>
      <w:tr>
        <w:tc>
          <w:tcPr>
            <w:tcW w:type="dxa" w:w="2600"/>
            <w:tcMar>
              <w:top w:type="dxa" w:w="80"/>
              <w:left w:type="dxa" w:w="100"/>
              <w:bottom w:type="dxa" w:w="80"/>
              <w:right w:type="dxa" w:w="100"/>
            </w:tcMar>
          </w:tcPr>
          <w:p>
            <w:r>
              <w:rPr>
                <w:b w:val="false"/>
                <w:bCs w:val="false"/>
                <w:sz w:val="20"/>
                <w:szCs w:val="20"/>
              </w:rPr>
              <w:t xml:space="preserve">2. Capacitor app scaffold</w:t>
            </w:r>
          </w:p>
        </w:tc>
        <w:tc>
          <w:tcPr>
            <w:tcW w:type="dxa" w:w="5500"/>
            <w:tcMar>
              <w:top w:type="dxa" w:w="80"/>
              <w:left w:type="dxa" w:w="100"/>
              <w:bottom w:type="dxa" w:w="80"/>
              <w:right w:type="dxa" w:w="100"/>
            </w:tcMar>
          </w:tcPr>
          <w:p>
            <w:r>
              <w:rPr>
                <w:b w:val="false"/>
                <w:bCs w:val="false"/>
                <w:sz w:val="20"/>
                <w:szCs w:val="20"/>
              </w:rPr>
              <w:t xml:space="preserve">Project setup, native SQLite plugin, native Filesystem plugin, native secure-storage plugin, base navigation shell, iOS + Android build config.</w:t>
            </w:r>
          </w:p>
        </w:tc>
        <w:tc>
          <w:tcPr>
            <w:tcW w:type="dxa" w:w="2000"/>
            <w:tcMar>
              <w:top w:type="dxa" w:w="80"/>
              <w:left w:type="dxa" w:w="100"/>
              <w:bottom w:type="dxa" w:w="80"/>
              <w:right w:type="dxa" w:w="100"/>
            </w:tcMar>
          </w:tcPr>
          <w:p>
            <w:r>
              <w:rPr>
                <w:b w:val="false"/>
                <w:bCs w:val="false"/>
                <w:sz w:val="20"/>
                <w:szCs w:val="20"/>
              </w:rPr>
              <w:t xml:space="preserve">6 days</w:t>
            </w:r>
          </w:p>
        </w:tc>
      </w:tr>
      <w:tr>
        <w:tc>
          <w:tcPr>
            <w:tcW w:type="dxa" w:w="2600"/>
            <w:tcMar>
              <w:top w:type="dxa" w:w="80"/>
              <w:left w:type="dxa" w:w="100"/>
              <w:bottom w:type="dxa" w:w="80"/>
              <w:right w:type="dxa" w:w="100"/>
            </w:tcMar>
          </w:tcPr>
          <w:p>
            <w:r>
              <w:rPr>
                <w:b w:val="false"/>
                <w:bCs w:val="false"/>
                <w:sz w:val="20"/>
                <w:szCs w:val="20"/>
              </w:rPr>
              <w:t xml:space="preserve">3. Offline data layer</w:t>
            </w:r>
          </w:p>
        </w:tc>
        <w:tc>
          <w:tcPr>
            <w:tcW w:type="dxa" w:w="5500"/>
            <w:tcMar>
              <w:top w:type="dxa" w:w="80"/>
              <w:left w:type="dxa" w:w="100"/>
              <w:bottom w:type="dxa" w:w="80"/>
              <w:right w:type="dxa" w:w="100"/>
            </w:tcMar>
          </w:tcPr>
          <w:p>
            <w:r>
              <w:rPr>
                <w:b w:val="false"/>
                <w:bCs w:val="false"/>
                <w:sz w:val="20"/>
                <w:szCs w:val="20"/>
              </w:rPr>
              <w:t xml:space="preserve">Local SQLite schema, outbox/sync queue, client-generated ID + idempotent sync, modified_date conflict detection, reconnect trigger.</w:t>
            </w:r>
          </w:p>
        </w:tc>
        <w:tc>
          <w:tcPr>
            <w:tcW w:type="dxa" w:w="2000"/>
            <w:tcMar>
              <w:top w:type="dxa" w:w="80"/>
              <w:left w:type="dxa" w:w="100"/>
              <w:bottom w:type="dxa" w:w="80"/>
              <w:right w:type="dxa" w:w="100"/>
            </w:tcMar>
          </w:tcPr>
          <w:p>
            <w:r>
              <w:rPr>
                <w:b w:val="false"/>
                <w:bCs w:val="false"/>
                <w:sz w:val="20"/>
                <w:szCs w:val="20"/>
              </w:rPr>
              <w:t xml:space="preserve">9 days</w:t>
            </w:r>
          </w:p>
        </w:tc>
      </w:tr>
      <w:tr>
        <w:tc>
          <w:tcPr>
            <w:tcW w:type="dxa" w:w="2600"/>
            <w:tcMar>
              <w:top w:type="dxa" w:w="80"/>
              <w:left w:type="dxa" w:w="100"/>
              <w:bottom w:type="dxa" w:w="80"/>
              <w:right w:type="dxa" w:w="100"/>
            </w:tcMar>
          </w:tcPr>
          <w:p>
            <w:r>
              <w:rPr>
                <w:b w:val="false"/>
                <w:bCs w:val="false"/>
                <w:sz w:val="20"/>
                <w:szCs w:val="20"/>
              </w:rPr>
              <w:t xml:space="preserve">4. Feature screens (7 pages)</w:t>
            </w:r>
          </w:p>
        </w:tc>
        <w:tc>
          <w:tcPr>
            <w:tcW w:type="dxa" w:w="5500"/>
            <w:tcMar>
              <w:top w:type="dxa" w:w="80"/>
              <w:left w:type="dxa" w:w="100"/>
              <w:bottom w:type="dxa" w:w="80"/>
              <w:right w:type="dxa" w:w="100"/>
            </w:tcMar>
          </w:tcPr>
          <w:p>
            <w:r>
              <w:rPr>
                <w:b w:val="false"/>
                <w:bCs w:val="false"/>
                <w:sz w:val="20"/>
                <w:szCs w:val="20"/>
              </w:rPr>
              <w:t xml:space="preserve">Site &amp; Work Details, Control Measures &amp; PPE, Equipment Isolation, Authorisation &amp; Acceptance (signatures), LV Monitoring, Clear, Cancel (+photo gate) — each wired to local DB, validations mirrored, sync queue.</w:t>
            </w:r>
          </w:p>
        </w:tc>
        <w:tc>
          <w:tcPr>
            <w:tcW w:type="dxa" w:w="2000"/>
            <w:tcMar>
              <w:top w:type="dxa" w:w="80"/>
              <w:left w:type="dxa" w:w="100"/>
              <w:bottom w:type="dxa" w:w="80"/>
              <w:right w:type="dxa" w:w="100"/>
            </w:tcMar>
          </w:tcPr>
          <w:p>
            <w:r>
              <w:rPr>
                <w:b w:val="false"/>
                <w:bCs w:val="false"/>
                <w:sz w:val="20"/>
                <w:szCs w:val="20"/>
              </w:rPr>
              <w:t xml:space="preserve">20 days</w:t>
            </w:r>
          </w:p>
        </w:tc>
      </w:tr>
      <w:tr>
        <w:tc>
          <w:tcPr>
            <w:tcW w:type="dxa" w:w="2600"/>
            <w:tcMar>
              <w:top w:type="dxa" w:w="80"/>
              <w:left w:type="dxa" w:w="100"/>
              <w:bottom w:type="dxa" w:w="80"/>
              <w:right w:type="dxa" w:w="100"/>
            </w:tcMar>
          </w:tcPr>
          <w:p>
            <w:r>
              <w:rPr>
                <w:b w:val="false"/>
                <w:bCs w:val="false"/>
                <w:sz w:val="20"/>
                <w:szCs w:val="20"/>
              </w:rPr>
              <w:t xml:space="preserve">5. Device binding / offline login</w:t>
            </w:r>
          </w:p>
        </w:tc>
        <w:tc>
          <w:tcPr>
            <w:tcW w:type="dxa" w:w="5500"/>
            <w:tcMar>
              <w:top w:type="dxa" w:w="80"/>
              <w:left w:type="dxa" w:w="100"/>
              <w:bottom w:type="dxa" w:w="80"/>
              <w:right w:type="dxa" w:w="100"/>
            </w:tcMar>
          </w:tcPr>
          <w:p>
            <w:r>
              <w:rPr>
                <w:b w:val="false"/>
                <w:bCs w:val="false"/>
                <w:sz w:val="20"/>
                <w:szCs w:val="20"/>
              </w:rPr>
              <w:t xml:space="preserve">Enrolment while online, native biometric/PIN unlock, secure credential storage, trust-expiry policy.</w:t>
            </w:r>
          </w:p>
        </w:tc>
        <w:tc>
          <w:tcPr>
            <w:tcW w:type="dxa" w:w="2000"/>
            <w:tcMar>
              <w:top w:type="dxa" w:w="80"/>
              <w:left w:type="dxa" w:w="100"/>
              <w:bottom w:type="dxa" w:w="80"/>
              <w:right w:type="dxa" w:w="100"/>
            </w:tcMar>
          </w:tcPr>
          <w:p>
            <w:r>
              <w:rPr>
                <w:b w:val="false"/>
                <w:bCs w:val="false"/>
                <w:sz w:val="20"/>
                <w:szCs w:val="20"/>
              </w:rPr>
              <w:t xml:space="preserve">5 days</w:t>
            </w:r>
          </w:p>
        </w:tc>
      </w:tr>
      <w:tr>
        <w:tc>
          <w:tcPr>
            <w:tcW w:type="dxa" w:w="2600"/>
            <w:tcMar>
              <w:top w:type="dxa" w:w="80"/>
              <w:left w:type="dxa" w:w="100"/>
              <w:bottom w:type="dxa" w:w="80"/>
              <w:right w:type="dxa" w:w="100"/>
            </w:tcMar>
          </w:tcPr>
          <w:p>
            <w:r>
              <w:rPr>
                <w:b w:val="false"/>
                <w:bCs w:val="false"/>
                <w:sz w:val="20"/>
                <w:szCs w:val="20"/>
              </w:rPr>
              <w:t xml:space="preserve">6. Dashboard, sync status &amp; conflict UI</w:t>
            </w:r>
          </w:p>
        </w:tc>
        <w:tc>
          <w:tcPr>
            <w:tcW w:type="dxa" w:w="5500"/>
            <w:tcMar>
              <w:top w:type="dxa" w:w="80"/>
              <w:left w:type="dxa" w:w="100"/>
              <w:bottom w:type="dxa" w:w="80"/>
              <w:right w:type="dxa" w:w="100"/>
            </w:tcMar>
          </w:tcPr>
          <w:p>
            <w:r>
              <w:rPr>
                <w:b w:val="false"/>
                <w:bCs w:val="false"/>
                <w:sz w:val="20"/>
                <w:szCs w:val="20"/>
              </w:rPr>
              <w:t xml:space="preserve">Offline / Syncing / Synced / Needs-Review badges; conflict review screen.</w:t>
            </w:r>
          </w:p>
        </w:tc>
        <w:tc>
          <w:tcPr>
            <w:tcW w:type="dxa" w:w="2000"/>
            <w:tcMar>
              <w:top w:type="dxa" w:w="80"/>
              <w:left w:type="dxa" w:w="100"/>
              <w:bottom w:type="dxa" w:w="80"/>
              <w:right w:type="dxa" w:w="100"/>
            </w:tcMar>
          </w:tcPr>
          <w:p>
            <w:r>
              <w:rPr>
                <w:b w:val="false"/>
                <w:bCs w:val="false"/>
                <w:sz w:val="20"/>
                <w:szCs w:val="20"/>
              </w:rPr>
              <w:t xml:space="preserve">6 days</w:t>
            </w:r>
          </w:p>
        </w:tc>
      </w:tr>
      <w:tr>
        <w:tc>
          <w:tcPr>
            <w:tcW w:type="dxa" w:w="2600"/>
            <w:tcMar>
              <w:top w:type="dxa" w:w="80"/>
              <w:left w:type="dxa" w:w="100"/>
              <w:bottom w:type="dxa" w:w="80"/>
              <w:right w:type="dxa" w:w="100"/>
            </w:tcMar>
          </w:tcPr>
          <w:p>
            <w:r>
              <w:rPr>
                <w:b w:val="false"/>
                <w:bCs w:val="false"/>
                <w:sz w:val="20"/>
                <w:szCs w:val="20"/>
              </w:rPr>
              <w:t xml:space="preserve">7. Cross-platform testing</w:t>
            </w:r>
          </w:p>
        </w:tc>
        <w:tc>
          <w:tcPr>
            <w:tcW w:type="dxa" w:w="5500"/>
            <w:tcMar>
              <w:top w:type="dxa" w:w="80"/>
              <w:left w:type="dxa" w:w="100"/>
              <w:bottom w:type="dxa" w:w="80"/>
              <w:right w:type="dxa" w:w="100"/>
            </w:tcMar>
          </w:tcPr>
          <w:p>
            <w:r>
              <w:rPr>
                <w:b w:val="false"/>
                <w:bCs w:val="false"/>
                <w:sz w:val="20"/>
                <w:szCs w:val="20"/>
              </w:rPr>
              <w:t xml:space="preserve">Real airplane-mode testing on iOS + Android, multi-permit/multi-hour offline runs, storage-eviction edge cases, conflict scenarios, signature/photo integrity.</w:t>
            </w:r>
          </w:p>
        </w:tc>
        <w:tc>
          <w:tcPr>
            <w:tcW w:type="dxa" w:w="2000"/>
            <w:tcMar>
              <w:top w:type="dxa" w:w="80"/>
              <w:left w:type="dxa" w:w="100"/>
              <w:bottom w:type="dxa" w:w="80"/>
              <w:right w:type="dxa" w:w="100"/>
            </w:tcMar>
          </w:tcPr>
          <w:p>
            <w:r>
              <w:rPr>
                <w:b w:val="false"/>
                <w:bCs w:val="false"/>
                <w:sz w:val="20"/>
                <w:szCs w:val="20"/>
              </w:rPr>
              <w:t xml:space="preserve">8 days</w:t>
            </w:r>
          </w:p>
        </w:tc>
      </w:tr>
      <w:tr>
        <w:tc>
          <w:tcPr>
            <w:tcW w:type="dxa" w:w="2600"/>
            <w:tcMar>
              <w:top w:type="dxa" w:w="80"/>
              <w:left w:type="dxa" w:w="100"/>
              <w:bottom w:type="dxa" w:w="80"/>
              <w:right w:type="dxa" w:w="100"/>
            </w:tcMar>
          </w:tcPr>
          <w:p>
            <w:r>
              <w:rPr>
                <w:b w:val="false"/>
                <w:bCs w:val="false"/>
                <w:sz w:val="20"/>
                <w:szCs w:val="20"/>
              </w:rPr>
              <w:t xml:space="preserve">8. Private distribution setup</w:t>
            </w:r>
          </w:p>
        </w:tc>
        <w:tc>
          <w:tcPr>
            <w:tcW w:type="dxa" w:w="5500"/>
            <w:tcMar>
              <w:top w:type="dxa" w:w="80"/>
              <w:left w:type="dxa" w:w="100"/>
              <w:bottom w:type="dxa" w:w="80"/>
              <w:right w:type="dxa" w:w="100"/>
            </w:tcMar>
          </w:tcPr>
          <w:p>
            <w:r>
              <w:rPr>
                <w:b w:val="false"/>
                <w:bCs w:val="false"/>
                <w:sz w:val="20"/>
                <w:szCs w:val="20"/>
              </w:rPr>
              <w:t xml:space="preserve">Apple Developer Program enrolment ($99/yr) + Custom Apps via Apple Business Manager, one build assigned to multiple named customer Organization IDs (3–4 confirmed) + Managed Google Play private app shared to each customer's org ID. Not publicly listed; Custom Apps passes standard Apple App Review once per app version (typically 24–48h) — reused across all assigned customers, not repeated per customer.</w:t>
            </w:r>
          </w:p>
        </w:tc>
        <w:tc>
          <w:tcPr>
            <w:tcW w:type="dxa" w:w="2000"/>
            <w:tcMar>
              <w:top w:type="dxa" w:w="80"/>
              <w:left w:type="dxa" w:w="100"/>
              <w:bottom w:type="dxa" w:w="80"/>
              <w:right w:type="dxa" w:w="100"/>
            </w:tcMar>
          </w:tcPr>
          <w:p>
            <w:r>
              <w:rPr>
                <w:b w:val="false"/>
                <w:bCs w:val="false"/>
                <w:sz w:val="20"/>
                <w:szCs w:val="20"/>
              </w:rPr>
              <w:t xml:space="preserve">5 days active work + App Review turnaround (once per version)</w:t>
            </w:r>
          </w:p>
        </w:tc>
      </w:tr>
    </w:tbl>
    <w:p>
      <w:pPr>
        <w:pStyle w:val="Heading1"/>
        <w:spacing w:after="140" w:before="280"/>
      </w:pPr>
      <w:r>
        <w:t xml:space="preserve">8. Total Estimate</w:t>
      </w:r>
    </w:p>
    <w:p>
      <w:pPr>
        <w:spacing w:after="140"/>
      </w:pPr>
      <w:r>
        <w:rPr>
          <w:b w:val="false"/>
          <w:bCs w:val="false"/>
          <w:i w:val="false"/>
          <w:iCs w:val="false"/>
        </w:rPr>
        <w:t xml:space="preserve">Sequential total: approximately 77 working days (≈ 15–16 weeks). With realistic overlap for a 2-person team (e.g. ORDS work in Phase 1 continuing while the Capacitor scaffold in Phase 2 is set up), a more likely elapsed timeline is:</w:t>
      </w:r>
    </w:p>
    <w:p>
      <w:pPr>
        <w:spacing w:after="140"/>
      </w:pPr>
      <w:r>
        <w:rPr>
          <w:b/>
          <w:bCs/>
          <w:i w:val="false"/>
          <w:iCs w:val="false"/>
        </w:rPr>
        <w:t xml:space="preserve">13–15 weeks (roughly 3–3.5 months), plus Apple App Review turnaround for Custom Apps (typically 24–48h, occasionally longer) — this happens once per app version, not once per customer, and the same approved build is then assigned to all 3–4 confirmed customer Organization IDs.</w:t>
      </w:r>
    </w:p>
    <w:p>
      <w:pPr>
        <w:spacing w:after="140"/>
      </w:pPr>
      <w:r>
        <w:rPr>
          <w:b w:val="false"/>
          <w:bCs w:val="false"/>
          <w:i w:val="false"/>
          <w:iCs w:val="false"/>
        </w:rPr>
        <w:t xml:space="preserve">Distribution is private, to specific customer organisations — currently 3–4 confirmed (this rules out the Apple Developer Enterprise Program, which is restricted to an organisation's own employees only. The correct mechanism is Custom Apps via Apple Business Manager on a standard Apple Developer Program membership, paired with Managed Google Play private apps shared per customer org ID on Android. Each customer needs their own Apple Business Manager account before being added to the distribution list — an administrative dependency on the customer's side, not additional build effort.</w:t>
      </w:r>
    </w:p>
    <w:p>
      <w:pPr>
        <w:spacing w:after="140"/>
      </w:pPr>
      <w:r>
        <w:rPr>
          <w:b w:val="false"/>
          <w:bCs w:val="false"/>
          <w:i/>
          <w:iCs/>
        </w:rPr>
        <w:t xml:space="preserve">This is a best-evidence estimate, not a fixed commitment — the two biggest remaining sources of variance are (a) how much of the client's compliance-change scope (already found across the uploaded files — 12-hr max, self-authorisation, suspension workflow, hazardous-substance assessment, area-safe blocking, etc.) still needs porting into the mobile validations, and (b) findings from real-device offline testing in Phase 7, which routinely surfaces issues that only appear on physical hardware.</w:t>
      </w:r>
    </w:p>
    <w:p>
      <w:pPr>
        <w:pStyle w:val="Heading1"/>
        <w:spacing w:after="140" w:before="280"/>
      </w:pPr>
      <w:r>
        <w:t xml:space="preserve">9. Roles &amp; Responsibilities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800"/>
        <w:gridCol w:w="3300"/>
      </w:tblGrid>
      <w:tr>
        <w:trPr>
          <w:tblHeader/>
        </w:trPr>
        <w:tc>
          <w:tcPr>
            <w:tcW w:type="dxa" w:w="5800"/>
            <w:shd w:fill="1F3864" w:color="auto" w:val="clear"/>
            <w:tcMar>
              <w:top w:type="dxa" w:w="80"/>
              <w:left w:type="dxa" w:w="100"/>
              <w:bottom w:type="dxa" w:w="80"/>
              <w:right w:type="dxa" w:w="100"/>
            </w:tcMar>
          </w:tcPr>
          <w:p>
            <w:r>
              <w:rPr>
                <w:b/>
                <w:bCs/>
                <w:color w:val="FFFFFF"/>
                <w:sz w:val="20"/>
                <w:szCs w:val="20"/>
              </w:rPr>
              <w:t xml:space="preserve">Task type</w:t>
            </w:r>
          </w:p>
        </w:tc>
        <w:tc>
          <w:tcPr>
            <w:tcW w:type="dxa" w:w="3300"/>
            <w:shd w:fill="1F3864" w:color="auto" w:val="clear"/>
            <w:tcMar>
              <w:top w:type="dxa" w:w="80"/>
              <w:left w:type="dxa" w:w="100"/>
              <w:bottom w:type="dxa" w:w="80"/>
              <w:right w:type="dxa" w:w="100"/>
            </w:tcMar>
          </w:tcPr>
          <w:p>
            <w:r>
              <w:rPr>
                <w:b/>
                <w:bCs/>
                <w:color w:val="FFFFFF"/>
                <w:sz w:val="20"/>
                <w:szCs w:val="20"/>
              </w:rPr>
              <w:t xml:space="preserve">Owner</w:t>
            </w:r>
          </w:p>
        </w:tc>
      </w:tr>
      <w:tr>
        <w:tc>
          <w:tcPr>
            <w:tcW w:type="dxa" w:w="5800"/>
            <w:tcMar>
              <w:top w:type="dxa" w:w="80"/>
              <w:left w:type="dxa" w:w="100"/>
              <w:bottom w:type="dxa" w:w="80"/>
              <w:right w:type="dxa" w:w="100"/>
            </w:tcMar>
          </w:tcPr>
          <w:p>
            <w:r>
              <w:rPr>
                <w:b w:val="false"/>
                <w:bCs w:val="false"/>
                <w:sz w:val="20"/>
                <w:szCs w:val="20"/>
              </w:rPr>
              <w:t xml:space="preserve">PL/SQL, ORDS module definitions, SQL schema changes</w:t>
            </w:r>
          </w:p>
        </w:tc>
        <w:tc>
          <w:tcPr>
            <w:tcW w:type="dxa" w:w="3300"/>
            <w:tcMar>
              <w:top w:type="dxa" w:w="80"/>
              <w:left w:type="dxa" w:w="100"/>
              <w:bottom w:type="dxa" w:w="80"/>
              <w:right w:type="dxa" w:w="100"/>
            </w:tcMar>
          </w:tcPr>
          <w:p>
            <w:r>
              <w:rPr>
                <w:b w:val="false"/>
                <w:bCs w:val="false"/>
                <w:sz w:val="20"/>
                <w:szCs w:val="20"/>
              </w:rPr>
              <w:t xml:space="preserve">AI-drafted, you review &amp; deploy (no direct database access on my side)</w:t>
            </w:r>
          </w:p>
        </w:tc>
      </w:tr>
      <w:tr>
        <w:tc>
          <w:tcPr>
            <w:tcW w:type="dxa" w:w="5800"/>
            <w:tcMar>
              <w:top w:type="dxa" w:w="80"/>
              <w:left w:type="dxa" w:w="100"/>
              <w:bottom w:type="dxa" w:w="80"/>
              <w:right w:type="dxa" w:w="100"/>
            </w:tcMar>
          </w:tcPr>
          <w:p>
            <w:r>
              <w:rPr>
                <w:b w:val="false"/>
                <w:bCs w:val="false"/>
                <w:sz w:val="20"/>
                <w:szCs w:val="20"/>
              </w:rPr>
              <w:t xml:space="preserve">Capacitor / TypeScript / native plugin code</w:t>
            </w:r>
          </w:p>
        </w:tc>
        <w:tc>
          <w:tcPr>
            <w:tcW w:type="dxa" w:w="3300"/>
            <w:tcMar>
              <w:top w:type="dxa" w:w="80"/>
              <w:left w:type="dxa" w:w="100"/>
              <w:bottom w:type="dxa" w:w="80"/>
              <w:right w:type="dxa" w:w="100"/>
            </w:tcMar>
          </w:tcPr>
          <w:p>
            <w:r>
              <w:rPr>
                <w:b w:val="false"/>
                <w:bCs w:val="false"/>
                <w:sz w:val="20"/>
                <w:szCs w:val="20"/>
              </w:rPr>
              <w:t xml:space="preserve">AI-drafted, you review, build, and run on device</w:t>
            </w:r>
          </w:p>
        </w:tc>
      </w:tr>
      <w:tr>
        <w:tc>
          <w:tcPr>
            <w:tcW w:type="dxa" w:w="5800"/>
            <w:tcMar>
              <w:top w:type="dxa" w:w="80"/>
              <w:left w:type="dxa" w:w="100"/>
              <w:bottom w:type="dxa" w:w="80"/>
              <w:right w:type="dxa" w:w="100"/>
            </w:tcMar>
          </w:tcPr>
          <w:p>
            <w:r>
              <w:rPr>
                <w:b w:val="false"/>
                <w:bCs w:val="false"/>
                <w:sz w:val="20"/>
                <w:szCs w:val="20"/>
              </w:rPr>
              <w:t xml:space="preserve">Oracle Database / ORDS deployment, Apple Developer Program enrolment + Business Manager Custom App setup, Managed Google Play org setup</w:t>
            </w:r>
          </w:p>
        </w:tc>
        <w:tc>
          <w:tcPr>
            <w:tcW w:type="dxa" w:w="3300"/>
            <w:tcMar>
              <w:top w:type="dxa" w:w="80"/>
              <w:left w:type="dxa" w:w="100"/>
              <w:bottom w:type="dxa" w:w="80"/>
              <w:right w:type="dxa" w:w="100"/>
            </w:tcMar>
          </w:tcPr>
          <w:p>
            <w:r>
              <w:rPr>
                <w:b w:val="false"/>
                <w:bCs w:val="false"/>
                <w:sz w:val="20"/>
                <w:szCs w:val="20"/>
              </w:rPr>
              <w:t xml:space="preserve">You (deployment access and platform accounts are outside what I can perform)</w:t>
            </w:r>
          </w:p>
        </w:tc>
      </w:tr>
      <w:tr>
        <w:tc>
          <w:tcPr>
            <w:tcW w:type="dxa" w:w="5800"/>
            <w:tcMar>
              <w:top w:type="dxa" w:w="80"/>
              <w:left w:type="dxa" w:w="100"/>
              <w:bottom w:type="dxa" w:w="80"/>
              <w:right w:type="dxa" w:w="100"/>
            </w:tcMar>
          </w:tcPr>
          <w:p>
            <w:r>
              <w:rPr>
                <w:b w:val="false"/>
                <w:bCs w:val="false"/>
                <w:sz w:val="20"/>
                <w:szCs w:val="20"/>
              </w:rPr>
              <w:t xml:space="preserve">Physical device testing (iOS + Android, real airplane-mode scenarios)</w:t>
            </w:r>
          </w:p>
        </w:tc>
        <w:tc>
          <w:tcPr>
            <w:tcW w:type="dxa" w:w="3300"/>
            <w:tcMar>
              <w:top w:type="dxa" w:w="80"/>
              <w:left w:type="dxa" w:w="100"/>
              <w:bottom w:type="dxa" w:w="80"/>
              <w:right w:type="dxa" w:w="100"/>
            </w:tcMar>
          </w:tcPr>
          <w:p>
            <w:r>
              <w:rPr>
                <w:b w:val="false"/>
                <w:bCs w:val="false"/>
                <w:sz w:val="20"/>
                <w:szCs w:val="20"/>
              </w:rPr>
              <w:t xml:space="preserve">You — this cannot be done in a sandbox and is the most important testing phase</w:t>
            </w:r>
          </w:p>
        </w:tc>
      </w:tr>
      <w:tr>
        <w:tc>
          <w:tcPr>
            <w:tcW w:type="dxa" w:w="5800"/>
            <w:tcMar>
              <w:top w:type="dxa" w:w="80"/>
              <w:left w:type="dxa" w:w="100"/>
              <w:bottom w:type="dxa" w:w="80"/>
              <w:right w:type="dxa" w:w="100"/>
            </w:tcMar>
          </w:tcPr>
          <w:p>
            <w:r>
              <w:rPr>
                <w:b w:val="false"/>
                <w:bCs w:val="false"/>
                <w:sz w:val="20"/>
                <w:szCs w:val="20"/>
              </w:rPr>
              <w:t xml:space="preserve">Client sign-off on scope decisions (Section 5 alternatives, auth model, conflict policy)</w:t>
            </w:r>
          </w:p>
        </w:tc>
        <w:tc>
          <w:tcPr>
            <w:tcW w:type="dxa" w:w="3300"/>
            <w:tcMar>
              <w:top w:type="dxa" w:w="80"/>
              <w:left w:type="dxa" w:w="100"/>
              <w:bottom w:type="dxa" w:w="80"/>
              <w:right w:type="dxa" w:w="100"/>
            </w:tcMar>
          </w:tcPr>
          <w:p>
            <w:r>
              <w:rPr>
                <w:b w:val="false"/>
                <w:bCs w:val="false"/>
                <w:sz w:val="20"/>
                <w:szCs w:val="20"/>
              </w:rPr>
              <w:t xml:space="preserve">You, with input/analysis from me</w:t>
            </w:r>
          </w:p>
        </w:tc>
      </w:tr>
    </w:tbl>
    <w:p>
      <w:pPr>
        <w:pStyle w:val="Heading1"/>
        <w:spacing w:after="140" w:before="280"/>
      </w:pPr>
      <w:r>
        <w:t xml:space="preserve">10. Key Risks</w:t>
      </w:r>
    </w:p>
    <w:p>
      <w:pPr>
        <w:pStyle w:val="ListParagraph"/>
        <w:numPr>
          <w:ilvl w:val="0"/>
          <w:numId w:val="1"/>
        </w:numPr>
        <w:spacing w:after="80"/>
      </w:pPr>
      <w:r>
        <w:t xml:space="preserve">Physical-device offline testing (Phase 7) is where real problems surface — treat the Section 8 estimate as provisional until that phase starts.</w:t>
      </w:r>
    </w:p>
    <w:p>
      <w:pPr>
        <w:pStyle w:val="ListParagraph"/>
        <w:numPr>
          <w:ilvl w:val="0"/>
          <w:numId w:val="1"/>
        </w:numPr>
        <w:spacing w:after="80"/>
      </w:pPr>
      <w:r>
        <w:t xml:space="preserve">Apple Developer Enterprise Program does not apply here — it's restricted to an organisation's own employees. The corrected path (Custom Apps via Apple Business Manager) needs each of the 3–4 customer organisations to have or set up its own Apple Business Manager account before your app can be assigned to them — an onboarding dependency per customer, though App Review itself is only once per app version, not repeated.</w:t>
      </w:r>
    </w:p>
    <w:p>
      <w:pPr>
        <w:pStyle w:val="ListParagraph"/>
        <w:numPr>
          <w:ilvl w:val="0"/>
          <w:numId w:val="1"/>
        </w:numPr>
        <w:spacing w:after="80"/>
      </w:pPr>
      <w:r>
        <w:t xml:space="preserve">Google's mandatory Android Developer Verification (ecosystem-wide identity requirement for apps to install on certified devices) begins enforcement September 2026 in an initial set of countries, expanding globally in 2027. It does not block this project now, but budget the verification step in — it will eventually apply to private/Managed Google Play distribution too, not just public Play Store listings.</w:t>
      </w:r>
    </w:p>
    <w:p>
      <w:pPr>
        <w:pStyle w:val="ListParagraph"/>
        <w:numPr>
          <w:ilvl w:val="0"/>
          <w:numId w:val="1"/>
        </w:numPr>
        <w:spacing w:after="80"/>
      </w:pPr>
      <w:r>
        <w:t xml:space="preserve">Scope creep risk: the uploaded compliance-change files show ongoing procedural/regulatory changes (suspension workflow, hazardous-substance checklist item, area-safe/expiry validations) still being layered onto the desktop app. Each new rule needs porting into the mobile client's local validation logic as well — this is an ongoing cost, not a one-time port.</w:t>
      </w:r>
    </w:p>
    <w:p>
      <w:pPr>
        <w:pStyle w:val="ListParagraph"/>
        <w:numPr>
          <w:ilvl w:val="0"/>
          <w:numId w:val="1"/>
        </w:numPr>
        <w:spacing w:after="80"/>
      </w:pPr>
      <w:r>
        <w:t xml:space="preserve">Conflict-review UI (Phase 6) needs a defined owner in your organisation — someone has to actually resolve flagged conflicts operationally, not just see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2026-07-02T18:41:57.702Z</dcterms:created>
  <dcterms:modified xsi:type="dcterms:W3CDTF">2026-07-02T18:41:57.720Z</dcterms:modified>
</cp:coreProperties>
</file>

<file path=docProps/custom.xml><?xml version="1.0" encoding="utf-8"?>
<Properties xmlns="http://schemas.openxmlformats.org/officeDocument/2006/custom-properties" xmlns:vt="http://schemas.openxmlformats.org/officeDocument/2006/docPropsVTypes"/>
</file>