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1b37b4bced260c305aca42c2dd66ff165c60615"/>
    <w:p>
      <w:pPr>
        <w:pStyle w:val="Heading1"/>
      </w:pPr>
      <w:r>
        <w:t xml:space="preserve">Kenzo Tange, Metabolism, and the Reconstruction of Skopje</w:t>
      </w:r>
    </w:p>
    <w:bookmarkStart w:id="23" w:name="executive-summary"/>
    <w:p>
      <w:pPr>
        <w:pStyle w:val="Heading2"/>
      </w:pPr>
      <w:r>
        <w:t xml:space="preserve">Executive summary</w:t>
      </w:r>
    </w:p>
    <w:p>
      <w:pPr>
        <w:pStyle w:val="FirstParagraph"/>
      </w:pPr>
      <w:r>
        <w:t xml:space="preserve">Kenzō Tange’s Skopje project matters not because it simply exported Japanese Metabolism to the Balkans, but because it translated Metabolist ideas into a post-disaster civic instrument. By the mid-1960s, Tange had already become the most internationally visible Japanese architect of his generation: formed by Le Corbusier, legitimized by Hiroshima, radicalized by the urban thought behind</w:t>
      </w:r>
      <w:r>
        <w:t xml:space="preserve"> </w:t>
      </w:r>
      <w:r>
        <w:rPr>
          <w:i/>
          <w:iCs/>
        </w:rPr>
        <w:t xml:space="preserve">Plan for Tokyo 1960</w:t>
      </w:r>
      <w:r>
        <w:t xml:space="preserve">, and technically emboldened by works such as St. Mary’s Cathedral and the Yoyogi National Gymnasium. In Skopje, those trajectories converged. The city became the site where his interests in symbolism, mobility, megastructure, and urban growth were tested against a real political brief: reconstruction under socialism, under UN auspices, and under the moral pressure of Cold War “international solidarity.”</w:t>
      </w:r>
      <w:r>
        <w:t xml:space="preserve"> </w:t>
      </w:r>
      <w:hyperlink r:id="rId21">
        <w:r>
          <w:rPr>
            <w:rStyle w:val="Hyperlink"/>
          </w:rPr>
          <w:t xml:space="preserve">[1]</w:t>
        </w:r>
      </w:hyperlink>
    </w:p>
    <w:p>
      <w:pPr>
        <w:pStyle w:val="BodyText"/>
      </w:pPr>
      <w:r>
        <w:t xml:space="preserve">The resulting masterplan was neither a pure utopia nor a straightforward implementation plan. It was a layered urban apparatus. Tange’s two best-known figures—the</w:t>
      </w:r>
      <w:r>
        <w:t xml:space="preserve"> </w:t>
      </w:r>
      <w:r>
        <w:rPr>
          <w:b/>
          <w:bCs/>
        </w:rPr>
        <w:t xml:space="preserve">City Gate</w:t>
      </w:r>
      <w:r>
        <w:t xml:space="preserve"> </w:t>
      </w:r>
      <w:r>
        <w:t xml:space="preserve">and the</w:t>
      </w:r>
      <w:r>
        <w:t xml:space="preserve"> </w:t>
      </w:r>
      <w:r>
        <w:rPr>
          <w:b/>
          <w:bCs/>
        </w:rPr>
        <w:t xml:space="preserve">City Wall</w:t>
      </w:r>
      <w:r>
        <w:t xml:space="preserve">—were simultaneously diagrams, infrastructures, and public metaphors. The first reorganized high-speed regional movement, rail, bus, and vehicular access into a new transportation core; the second attempted to stabilize urban life around a mixed-use, housing-bearing perimeter that could mark the center while keeping it inhabited. Skopje therefore sits at an important hinge in postwar architecture: between CIAM’s functional city and Team X’s critiques; between Japanese Metabolism and Yugoslav developmental modernism; between the paper confidence of the megastructure and the fiscal, climatic, and political realities that force projects to mutate in the act of realization.</w:t>
      </w:r>
      <w:r>
        <w:t xml:space="preserve"> </w:t>
      </w:r>
      <w:hyperlink r:id="rId22">
        <w:r>
          <w:rPr>
            <w:rStyle w:val="Hyperlink"/>
          </w:rPr>
          <w:t xml:space="preserve">[2]</w:t>
        </w:r>
      </w:hyperlink>
    </w:p>
    <w:p>
      <w:pPr>
        <w:pStyle w:val="BodyText"/>
      </w:pPr>
      <w:r>
        <w:t xml:space="preserve">The built city makes this tension legible. Tange’s competition scheme won only part of the prize, was folded into a wider planning process, and was then refashioned through a mixed team, wind studies, budget limits, outdated briefs, and local project development. The fully continuous megastructure was never realized as drawn. Yet its urban DNA survived: in the City Wall housing complex, in the transportation center, in the linear organization of the center, in the durable symbolic vocabulary of “gate” and “wall,” and in the very idea that Skopje’s post-earthquake identity would be modern, infrastructural, and collective. The long afterlife of the plan—its partial construction, degradation, reinterpretation, and confrontation with the neoclassical overlays of “Skopje 2014”—is precisely what makes it still urgent for architects today.</w:t>
      </w:r>
      <w:r>
        <w:t xml:space="preserve"> </w:t>
      </w:r>
      <w:hyperlink r:id="rId22">
        <w:r>
          <w:rPr>
            <w:rStyle w:val="Hyperlink"/>
          </w:rPr>
          <w:t xml:space="preserve">[3]</w:t>
        </w:r>
      </w:hyperlink>
    </w:p>
    <w:bookmarkEnd w:id="23"/>
    <w:bookmarkStart w:id="26" w:name="tange-before-skopje"/>
    <w:p>
      <w:pPr>
        <w:pStyle w:val="Heading2"/>
      </w:pPr>
      <w:r>
        <w:t xml:space="preserve">Tange before Skopje</w:t>
      </w:r>
    </w:p>
    <w:p>
      <w:pPr>
        <w:pStyle w:val="FirstParagraph"/>
      </w:pPr>
      <w:r>
        <w:t xml:space="preserve">Tange was born in Osaka in 1913 and graduated from Tokyo Imperial University in 1938. Inspired by Le Corbusier, he entered the office of Kunio Maekawa, one of Corbusier’s former collaborators, before returning to the university for graduate work. After the war, he taught at the University of Tokyo from 1946 to 1974 and developed the</w:t>
      </w:r>
      <w:r>
        <w:t xml:space="preserve"> </w:t>
      </w:r>
      <w:r>
        <w:rPr>
          <w:b/>
          <w:bCs/>
        </w:rPr>
        <w:t xml:space="preserve">Tange Laboratory</w:t>
      </w:r>
      <w:r>
        <w:t xml:space="preserve">, which became a generator of postwar Japanese architecture. Among those associated with the lab were Fumihiko Maki, Arata Isozaki, Kisho Kurokawa, Koji Kamiya, and others who would become central to late modern and Metabolist discourse.</w:t>
      </w:r>
      <w:r>
        <w:t xml:space="preserve"> </w:t>
      </w:r>
      <w:hyperlink r:id="rId24">
        <w:r>
          <w:rPr>
            <w:rStyle w:val="Hyperlink"/>
          </w:rPr>
          <w:t xml:space="preserve">[4]</w:t>
        </w:r>
      </w:hyperlink>
    </w:p>
    <w:p>
      <w:pPr>
        <w:pStyle w:val="BodyText"/>
      </w:pPr>
      <w:r>
        <w:t xml:space="preserve">His first decisive international breakthrough came with the 1949 competition-winning design for Hiroshima Peace Memorial Park and Museum. The project was architecturally crucial because it did two things at once. It normalized a modern monumental language in Japan and it established Tange as an architect who could convert trauma into civic form. In that sense, Hiroshima was the necessary prehistory to Skopje: both projects ask how a city reconstitutes public meaning after catastrophe. Tange’s early postwar public buildings, especially the Kagawa Prefectural Government Office of 1958, also showed his ability to hybridize modern concrete construction with spatial and compositional references to Japanese tradition, a synthesis that made him legible to both domestic and international audiences.</w:t>
      </w:r>
      <w:r>
        <w:t xml:space="preserve"> </w:t>
      </w:r>
      <w:hyperlink r:id="rId24">
        <w:r>
          <w:rPr>
            <w:rStyle w:val="Hyperlink"/>
          </w:rPr>
          <w:t xml:space="preserve">[4]</w:t>
        </w:r>
      </w:hyperlink>
    </w:p>
    <w:p>
      <w:pPr>
        <w:pStyle w:val="BodyText"/>
      </w:pPr>
      <w:r>
        <w:t xml:space="preserve">By the end of the 1950s, Tange’s attention had shifted decisively toward urban structure. His doctoral work, completed in 1959, dealt with the spatial structure of the large city, and this concern culminated in</w:t>
      </w:r>
      <w:r>
        <w:t xml:space="preserve"> </w:t>
      </w:r>
      <w:r>
        <w:rPr>
          <w:i/>
          <w:iCs/>
        </w:rPr>
        <w:t xml:space="preserve">A Plan for Tokyo 1960</w:t>
      </w:r>
      <w:r>
        <w:t xml:space="preserve">. That project proposed not simply an expansion plan but a structural reorganization of metropolitan growth: a shift from a centripetal city to a linear one, in which transport, architecture, and territorial form became one system. Harvard’s Urban Design Case Study Archive describes the scheme as an 18-kilometer linear megastructure across Tokyo Bay designed for five million additional residents, while Tange’s own later biography emphasizes its importance as a response to urban growth and change.</w:t>
      </w:r>
      <w:r>
        <w:t xml:space="preserve"> </w:t>
      </w:r>
      <w:hyperlink r:id="rId25">
        <w:r>
          <w:rPr>
            <w:rStyle w:val="Hyperlink"/>
          </w:rPr>
          <w:t xml:space="preserve">[5]</w:t>
        </w:r>
      </w:hyperlink>
    </w:p>
    <w:p>
      <w:pPr>
        <w:pStyle w:val="BodyText"/>
      </w:pPr>
      <w:r>
        <w:t xml:space="preserve">The early 1960s also consolidated Tange’s technical and institutional authority. In 1961 he founded</w:t>
      </w:r>
      <w:r>
        <w:t xml:space="preserve"> </w:t>
      </w:r>
      <w:r>
        <w:rPr>
          <w:b/>
          <w:bCs/>
        </w:rPr>
        <w:t xml:space="preserve">Kenzo Tange and URTEC</w:t>
      </w:r>
      <w:r>
        <w:t xml:space="preserve">, formalizing an office culture that linked research, urbanism, and design. In 1964 came two of the decade’s critical works: Tokyo St. Mary’s Cathedral and the Yoyogi National Gymnasium. Together, they demonstrate that the Tange who arrived in Skopje was not merely a planner; he was an architect already working across scales—from shell and suspension structures to metropolitan form—with unusual confidence. By 1966, the Yamanashi Press and Broadcasting Center would make this cross-scalar thinking explicit in built form through service towers and expandable infill, a composition often read as a built analogue to Metabolist growth logics.</w:t>
      </w:r>
      <w:r>
        <w:t xml:space="preserve"> </w:t>
      </w:r>
      <w:hyperlink r:id="rId24">
        <w:r>
          <w:rPr>
            <w:rStyle w:val="Hyperlink"/>
          </w:rPr>
          <w:t xml:space="preserve">[6]</w:t>
        </w:r>
      </w:hyperlink>
    </w:p>
    <w:p>
      <w:pPr>
        <w:pStyle w:val="BodyText"/>
      </w:pPr>
      <w:r>
        <w:t xml:space="preserve">For a design readership, the important point is this: Skopje did not emerge from nowhere in Tange’s career. It belongs to a tightly linked sequence—Hiroshima, Kagawa, Tokyo Bay, Yoyogi, St. Mary’s, Yamanashi—in which the question of how to give collective form to modern life gradually expanded from building to city. Skopje was the moment when that trajectory confronted a real, damaged urban field instead of an abstract metropolitan future.</w:t>
      </w:r>
      <w:r>
        <w:t xml:space="preserve"> </w:t>
      </w:r>
      <w:hyperlink r:id="rId21">
        <w:r>
          <w:rPr>
            <w:rStyle w:val="Hyperlink"/>
          </w:rPr>
          <w:t xml:space="preserve">[7]</w:t>
        </w:r>
      </w:hyperlink>
    </w:p>
    <w:bookmarkEnd w:id="26"/>
    <w:bookmarkStart w:id="29" w:name="tange-and-the-metabolist-horizon"/>
    <w:p>
      <w:pPr>
        <w:pStyle w:val="Heading2"/>
      </w:pPr>
      <w:r>
        <w:t xml:space="preserve">Tange and the Metabolist horizon</w:t>
      </w:r>
    </w:p>
    <w:p>
      <w:pPr>
        <w:pStyle w:val="FirstParagraph"/>
      </w:pPr>
      <w:r>
        <w:t xml:space="preserve">If one strips Metabolism of its later mythology and returns to its sources, its core concern was not merely futurism. It was</w:t>
      </w:r>
      <w:r>
        <w:t xml:space="preserve"> </w:t>
      </w:r>
      <w:r>
        <w:rPr>
          <w:b/>
          <w:bCs/>
        </w:rPr>
        <w:t xml:space="preserve">change</w:t>
      </w:r>
      <w:r>
        <w:t xml:space="preserve">: how architecture might accommodate growth, replacement, mobility, technological acceleration, and the instability of postwar urban life. MoMA defines Metabolist architecture as a Japanese movement of the 1960s grounded in the belief that cities could be designed through organic paradigms; it emphasizes the movement’s reliance on biological models, monumental scale, and the idea that buildings should become nodes in the living fabric of the growing city. MoMA’s documentation of Kurokawa’s</w:t>
      </w:r>
      <w:r>
        <w:t xml:space="preserve"> </w:t>
      </w:r>
      <w:r>
        <w:rPr>
          <w:i/>
          <w:iCs/>
        </w:rPr>
        <w:t xml:space="preserve">Helix City</w:t>
      </w:r>
      <w:r>
        <w:t xml:space="preserve"> </w:t>
      </w:r>
      <w:r>
        <w:t xml:space="preserve">adds the movement’s own language: design and technology should denote human vitality, and society should be encouraged toward “active metabolic development.”</w:t>
      </w:r>
      <w:r>
        <w:t xml:space="preserve"> </w:t>
      </w:r>
      <w:hyperlink r:id="rId27">
        <w:r>
          <w:rPr>
            <w:rStyle w:val="Hyperlink"/>
          </w:rPr>
          <w:t xml:space="preserve">[8]</w:t>
        </w:r>
      </w:hyperlink>
    </w:p>
    <w:p>
      <w:pPr>
        <w:pStyle w:val="BodyText"/>
      </w:pPr>
      <w:r>
        <w:t xml:space="preserve">Tange’s relation to Metabolism was both central and slightly oblique. He was not simply one among the younger self-declared Metabolists; rather, he was their senior mentor, institutional enabler, and perhaps most consequential precursor. His laboratory produced many of the movement’s leading figures, and MoMA notes that many of the architects generating these radical proposals in 1960 were affiliated with Tange. Scholarly summaries from the period and later conference literature consistently describe him as the movement’s mentor or catalytic elder rather than a straightforward manifesto member. That distinction matters. Tange’s work does not always exhibit the literal plug-in capsule rhetoric associated with Kurokawa, but it does organize the city as a flexible structural system in which infrastructure and architecture become one framework for growth.</w:t>
      </w:r>
      <w:r>
        <w:t xml:space="preserve"> </w:t>
      </w:r>
      <w:hyperlink r:id="rId24">
        <w:r>
          <w:rPr>
            <w:rStyle w:val="Hyperlink"/>
          </w:rPr>
          <w:t xml:space="preserve">[9]</w:t>
        </w:r>
      </w:hyperlink>
    </w:p>
    <w:p>
      <w:pPr>
        <w:pStyle w:val="BodyText"/>
      </w:pPr>
      <w:r>
        <w:t xml:space="preserve">Several principles are especially relevant to Skopje. The first is the</w:t>
      </w:r>
      <w:r>
        <w:t xml:space="preserve"> </w:t>
      </w:r>
      <w:r>
        <w:rPr>
          <w:b/>
          <w:bCs/>
        </w:rPr>
        <w:t xml:space="preserve">primacy of infrastructure</w:t>
      </w:r>
      <w:r>
        <w:t xml:space="preserve">: movement systems are not subsidiary to architecture but generative of urban form itself. The second is</w:t>
      </w:r>
      <w:r>
        <w:t xml:space="preserve"> </w:t>
      </w:r>
      <w:r>
        <w:rPr>
          <w:b/>
          <w:bCs/>
        </w:rPr>
        <w:t xml:space="preserve">hierarchical growth</w:t>
      </w:r>
      <w:r>
        <w:t xml:space="preserve">, often expressed through the separation of long-life structural frames from shorter-life infill or replaceable units. The third is</w:t>
      </w:r>
      <w:r>
        <w:t xml:space="preserve"> </w:t>
      </w:r>
      <w:r>
        <w:rPr>
          <w:b/>
          <w:bCs/>
        </w:rPr>
        <w:t xml:space="preserve">artificial ground</w:t>
      </w:r>
      <w:r>
        <w:t xml:space="preserve"> </w:t>
      </w:r>
      <w:r>
        <w:t xml:space="preserve">or elevated urban surface: a new terrain produced by engineered systems rather than inherited topography. The fourth is</w:t>
      </w:r>
      <w:r>
        <w:t xml:space="preserve"> </w:t>
      </w:r>
      <w:r>
        <w:rPr>
          <w:b/>
          <w:bCs/>
        </w:rPr>
        <w:t xml:space="preserve">mixed scale</w:t>
      </w:r>
      <w:r>
        <w:t xml:space="preserve">, from the cellular to the territorial. And the fifth—too often overlooked—is the ambition to make these systems legible as symbols, not merely diagrams. Tange’s own work in Tokyo Bay and later Skopje pushes this symbolic dimension further than many younger Metabolist proposals.</w:t>
      </w:r>
      <w:r>
        <w:t xml:space="preserve"> </w:t>
      </w:r>
      <w:hyperlink r:id="rId25">
        <w:r>
          <w:rPr>
            <w:rStyle w:val="Hyperlink"/>
          </w:rPr>
          <w:t xml:space="preserve">[10]</w:t>
        </w:r>
      </w:hyperlink>
    </w:p>
    <w:p>
      <w:pPr>
        <w:pStyle w:val="BodyText"/>
      </w:pPr>
      <w:r>
        <w:t xml:space="preserve">That is why Skopje is not just “Metabolist” in a stylistic sense. It is Metabolist in its urban mechanics: linear development, multi-level circulation, modularity, intense infrastructural concentration, and the attempt to make large-scale systems adaptable over time. But it also exceeds Metabolism in one respect. Where many Metabolist projects remained speculative, Skopje had to negotiate existing neighborhoods, political institutions, climatic criticism, and the bureaucratic afterlife of disaster planning. It is where the movement’s urban ideas became answerable to implementation.</w:t>
      </w:r>
      <w:r>
        <w:t xml:space="preserve"> </w:t>
      </w:r>
      <w:hyperlink r:id="rId28">
        <w:r>
          <w:rPr>
            <w:rStyle w:val="Hyperlink"/>
          </w:rPr>
          <w:t xml:space="preserve">[11]</w:t>
        </w:r>
      </w:hyperlink>
    </w:p>
    <w:bookmarkEnd w:id="29"/>
    <w:bookmarkStart w:id="34" w:name="X72d5b45b1fae727ef15041144ff65cd06328c62"/>
    <w:p>
      <w:pPr>
        <w:pStyle w:val="Heading2"/>
      </w:pPr>
      <w:r>
        <w:t xml:space="preserve">Earthquake, solidarity, and the competition</w:t>
      </w:r>
    </w:p>
    <w:p>
      <w:pPr>
        <w:pStyle w:val="FirstParagraph"/>
      </w:pPr>
      <w:r>
        <w:t xml:space="preserve">The Skopje earthquake struck on</w:t>
      </w:r>
      <w:r>
        <w:t xml:space="preserve"> </w:t>
      </w:r>
      <w:r>
        <w:rPr>
          <w:b/>
          <w:bCs/>
        </w:rPr>
        <w:t xml:space="preserve">26 July 1963</w:t>
      </w:r>
      <w:r>
        <w:t xml:space="preserve">. The USGS catalogs the main event as</w:t>
      </w:r>
      <w:r>
        <w:t xml:space="preserve"> </w:t>
      </w:r>
      <w:r>
        <w:rPr>
          <w:b/>
          <w:bCs/>
        </w:rPr>
        <w:t xml:space="preserve">M 6.0</w:t>
      </w:r>
      <w:r>
        <w:t xml:space="preserve"> </w:t>
      </w:r>
      <w:r>
        <w:t xml:space="preserve">at a depth of 15 km near present-day Krušopek, while UN sources from the same year emphasized its human and urban toll rather than its instrumental seismology. The UN Yearbook records that ECOSOC, only days later, described the disaster as causing “thousands of human lives” lost and vast material damage; the General Assembly’s Resolution</w:t>
      </w:r>
      <w:r>
        <w:t xml:space="preserve"> </w:t>
      </w:r>
      <w:r>
        <w:rPr>
          <w:b/>
          <w:bCs/>
        </w:rPr>
        <w:t xml:space="preserve">1882 (XVIII)</w:t>
      </w:r>
      <w:r>
        <w:t xml:space="preserve">, adopted on 14 October 1963, referred to the destruction of the city, the death of more than</w:t>
      </w:r>
      <w:r>
        <w:t xml:space="preserve"> </w:t>
      </w:r>
      <w:r>
        <w:rPr>
          <w:b/>
          <w:bCs/>
        </w:rPr>
        <w:t xml:space="preserve">1,200</w:t>
      </w:r>
      <w:r>
        <w:t xml:space="preserve"> </w:t>
      </w:r>
      <w:r>
        <w:t xml:space="preserve">persons, and extensive material and cultural damage. Because early reporting and later seismological histories use somewhat different casualty counts, it is best to state the number cautiously rather than fetishize a precise figure.</w:t>
      </w:r>
      <w:r>
        <w:t xml:space="preserve"> </w:t>
      </w:r>
      <w:hyperlink r:id="rId30">
        <w:r>
          <w:rPr>
            <w:rStyle w:val="Hyperlink"/>
          </w:rPr>
          <w:t xml:space="preserve">[12]</w:t>
        </w:r>
      </w:hyperlink>
    </w:p>
    <w:p>
      <w:pPr>
        <w:pStyle w:val="BodyText"/>
      </w:pPr>
      <w:r>
        <w:t xml:space="preserve">What is beyond doubt is the scale of displacement and the exceptional international response. The Museum of Contemporary Art in Skopje describes the earthquake as having partially or totally destroyed up to</w:t>
      </w:r>
      <w:r>
        <w:t xml:space="preserve"> </w:t>
      </w:r>
      <w:r>
        <w:rPr>
          <w:b/>
          <w:bCs/>
        </w:rPr>
        <w:t xml:space="preserve">80%</w:t>
      </w:r>
      <w:r>
        <w:t xml:space="preserve"> </w:t>
      </w:r>
      <w:r>
        <w:t xml:space="preserve">of the built structures and left</w:t>
      </w:r>
      <w:r>
        <w:t xml:space="preserve"> </w:t>
      </w:r>
      <w:r>
        <w:rPr>
          <w:b/>
          <w:bCs/>
        </w:rPr>
        <w:t xml:space="preserve">150,000</w:t>
      </w:r>
      <w:r>
        <w:t xml:space="preserve"> </w:t>
      </w:r>
      <w:r>
        <w:t xml:space="preserve">inhabitants—about three quarters of the population—without housing. It also documents the first reconstruction phase: 17 new settlements, prefabricated emergency housing delivered from domestic and foreign sources, 10,000 units handed over by December 1963, and 14,068 dwelling units built by the end of 1964 for around 70,000 people. Another MoCA project and associated catalog material characterize this reconstruction effort as involving nearly</w:t>
      </w:r>
      <w:r>
        <w:t xml:space="preserve"> </w:t>
      </w:r>
      <w:r>
        <w:rPr>
          <w:b/>
          <w:bCs/>
        </w:rPr>
        <w:t xml:space="preserve">80 countries</w:t>
      </w:r>
      <w:r>
        <w:t xml:space="preserve">, consolidating Skopje’s later identity as the “City of International Solidarity.”</w:t>
      </w:r>
      <w:r>
        <w:t xml:space="preserve"> </w:t>
      </w:r>
      <w:hyperlink r:id="rId31">
        <w:r>
          <w:rPr>
            <w:rStyle w:val="Hyperlink"/>
          </w:rPr>
          <w:t xml:space="preserve">[13]</w:t>
        </w:r>
      </w:hyperlink>
    </w:p>
    <w:p>
      <w:pPr>
        <w:pStyle w:val="BodyText"/>
      </w:pPr>
      <w:r>
        <w:t xml:space="preserve">Institutionally, reconstruction unfolded through a layered UN/Yugoslav apparatus. ECOSOC Resolution 970 of 29 July 1963 invited member states to provide assistance; General Assembly Resolution 1882 noted Yugoslavia’s preparation of a</w:t>
      </w:r>
      <w:r>
        <w:t xml:space="preserve"> </w:t>
      </w:r>
      <w:r>
        <w:rPr>
          <w:b/>
          <w:bCs/>
        </w:rPr>
        <w:t xml:space="preserve">five-year reconstruction plan</w:t>
      </w:r>
      <w:r>
        <w:t xml:space="preserve">; and the</w:t>
      </w:r>
      <w:r>
        <w:t xml:space="preserve"> </w:t>
      </w:r>
      <w:r>
        <w:rPr>
          <w:b/>
          <w:bCs/>
        </w:rPr>
        <w:t xml:space="preserve">United Nations Special Fund</w:t>
      </w:r>
      <w:r>
        <w:t xml:space="preserve"> </w:t>
      </w:r>
      <w:r>
        <w:t xml:space="preserve">underwrote the town-planning effort that followed. The 1965 UN Yearbook states that work on the Special Fund project for the reconstruction of earthquake-shattered Skopje was “substantially completed” by the end of 1965. Later museum and research sources make clear that this broader planning process included surveys, housing studies, and master-planning work by several international actors, especially</w:t>
      </w:r>
      <w:r>
        <w:t xml:space="preserve"> </w:t>
      </w:r>
      <w:r>
        <w:rPr>
          <w:b/>
          <w:bCs/>
        </w:rPr>
        <w:t xml:space="preserve">Constantinos A. Doxiadis</w:t>
      </w:r>
      <w:r>
        <w:t xml:space="preserve">, whose role has recently been foregrounded again in Skopje exhibitions. Tange’s competition scheme, then, was never the whole story; it was the most famous component within a much larger transnational planning enterprise.</w:t>
      </w:r>
      <w:r>
        <w:t xml:space="preserve"> </w:t>
      </w:r>
      <w:hyperlink r:id="rId32">
        <w:r>
          <w:rPr>
            <w:rStyle w:val="Hyperlink"/>
          </w:rPr>
          <w:t xml:space="preserve">[14]</w:t>
        </w:r>
      </w:hyperlink>
    </w:p>
    <w:p>
      <w:pPr>
        <w:pStyle w:val="BodyText"/>
      </w:pPr>
      <w:r>
        <w:t xml:space="preserve">The invited competition for the city center was one crucial part of that enterprise. According to the Docomomo study of the City Wall,</w:t>
      </w:r>
      <w:r>
        <w:t xml:space="preserve"> </w:t>
      </w:r>
      <w:r>
        <w:rPr>
          <w:b/>
          <w:bCs/>
        </w:rPr>
        <w:t xml:space="preserve">four domestic and four international teams</w:t>
      </w:r>
      <w:r>
        <w:t xml:space="preserve"> </w:t>
      </w:r>
      <w:r>
        <w:t xml:space="preserve">took part. The Yugoslav teams were led by Edvard Ravnikar, Miščević and Wenzler, Aleksandar Djordjević, and Slavko Brezovski. The international offices were Maurice Rotival and Associates, Luigi Piccinato and Studio Scimemi, Kenzo Tange, and Van den Broek and Bakema. The jury split the first prize between</w:t>
      </w:r>
      <w:r>
        <w:t xml:space="preserve"> </w:t>
      </w:r>
      <w:r>
        <w:rPr>
          <w:b/>
          <w:bCs/>
        </w:rPr>
        <w:t xml:space="preserve">Kenzo Tange (60%)</w:t>
      </w:r>
      <w:r>
        <w:t xml:space="preserve"> </w:t>
      </w:r>
      <w:r>
        <w:t xml:space="preserve">and</w:t>
      </w:r>
      <w:r>
        <w:t xml:space="preserve"> </w:t>
      </w:r>
      <w:r>
        <w:rPr>
          <w:b/>
          <w:bCs/>
        </w:rPr>
        <w:t xml:space="preserve">Miščević and Wenzler (40%)</w:t>
      </w:r>
      <w:r>
        <w:t xml:space="preserve">, praising Tange’s work as serious, original, and inspired, while valuing Miščević/Wenzler’s restraint in height, open-space scale, and distribution of uses. The result was not a winner-take-all event, but the beginning of a negotiated development process in which the awarded teams and local actors were expected to work toward a buildable plan.</w:t>
      </w:r>
      <w:r>
        <w:t xml:space="preserve"> </w:t>
      </w:r>
      <w:hyperlink r:id="rId22">
        <w:r>
          <w:rPr>
            <w:rStyle w:val="Hyperlink"/>
          </w:rPr>
          <w:t xml:space="preserve">[15]</w:t>
        </w:r>
      </w:hyperlink>
    </w:p>
    <w:p>
      <w:pPr>
        <w:pStyle w:val="BodyText"/>
      </w:pPr>
      <w:r>
        <w:t xml:space="preserve">From an architectural point of view, this compromise is fundamental. It explains why Skopje should be read less as a single authorial masterpiece than as a contested field where competition vision, UN development planning, Yugoslav institutional priorities, and local technical adaptation were all in play. Mirjana Lozanovska’s summary is apt: Tange’s plan became iconic because it compressed the larger project into a vivid image, but the actual reconstruction process was more collective, more bureaucratic, and more heterogeneous than the mythology of the solitary genius suggests.</w:t>
      </w:r>
      <w:r>
        <w:t xml:space="preserve"> </w:t>
      </w:r>
      <w:hyperlink r:id="rId33">
        <w:r>
          <w:rPr>
            <w:rStyle w:val="Hyperlink"/>
          </w:rPr>
          <w:t xml:space="preserve">[16]</w:t>
        </w:r>
      </w:hyperlink>
    </w:p>
    <w:bookmarkEnd w:id="34"/>
    <w:bookmarkStart w:id="36" w:name="reading-the-skopje-masterplan"/>
    <w:p>
      <w:pPr>
        <w:pStyle w:val="Heading2"/>
      </w:pPr>
      <w:r>
        <w:t xml:space="preserve">Reading the Skopje masterplan</w:t>
      </w:r>
    </w:p>
    <w:p>
      <w:pPr>
        <w:pStyle w:val="FirstParagraph"/>
      </w:pPr>
      <w:r>
        <w:t xml:space="preserve">The masterplan’s most famous pair—</w:t>
      </w:r>
      <w:r>
        <w:rPr>
          <w:b/>
          <w:bCs/>
        </w:rPr>
        <w:t xml:space="preserve">City Gate</w:t>
      </w:r>
      <w:r>
        <w:t xml:space="preserve"> </w:t>
      </w:r>
      <w:r>
        <w:t xml:space="preserve">and</w:t>
      </w:r>
      <w:r>
        <w:t xml:space="preserve"> </w:t>
      </w:r>
      <w:r>
        <w:rPr>
          <w:b/>
          <w:bCs/>
        </w:rPr>
        <w:t xml:space="preserve">City Wall</w:t>
      </w:r>
      <w:r>
        <w:t xml:space="preserve">—should be understood as both morphological devices and rhetorical instruments. Tange described the City Gate as the urban “Transformer” and the City Wall as the urban “Vessel,” terms preserved in later scholarship quoting the 1966</w:t>
      </w:r>
      <w:r>
        <w:t xml:space="preserve"> </w:t>
      </w:r>
      <w:r>
        <w:rPr>
          <w:i/>
          <w:iCs/>
        </w:rPr>
        <w:t xml:space="preserve">Report on City Centre Planning</w:t>
      </w:r>
      <w:r>
        <w:t xml:space="preserve">. The point was not merely naming. As Tange understood it, the names were operational metaphors that guided form, scale, and collective intelligibility. In a city shattered by earthquake, the plan tried to recover orientation by constructing new symbols of entry and enclosure.</w:t>
      </w:r>
      <w:r>
        <w:t xml:space="preserve"> </w:t>
      </w:r>
      <w:hyperlink r:id="rId22">
        <w:r>
          <w:rPr>
            <w:rStyle w:val="Hyperlink"/>
          </w:rPr>
          <w:t xml:space="preserve">[17]</w:t>
        </w:r>
      </w:hyperlink>
    </w:p>
    <w:p>
      <w:pPr>
        <w:pStyle w:val="BodyText"/>
      </w:pPr>
      <w:r>
        <w:t xml:space="preserve">The</w:t>
      </w:r>
      <w:r>
        <w:t xml:space="preserve"> </w:t>
      </w:r>
      <w:r>
        <w:rPr>
          <w:b/>
          <w:bCs/>
        </w:rPr>
        <w:t xml:space="preserve">City Gate</w:t>
      </w:r>
      <w:r>
        <w:t xml:space="preserve"> </w:t>
      </w:r>
      <w:r>
        <w:t xml:space="preserve">concentrated the city’s high-speed systems. Harvard’s case study describes it as a multi-level transportation center that combined rail, highways, buses, transit terminals, parking, and pedestrian circulation. The undergrounding of the rail station and the stacking of movement systems above it are central here. Tange was effectively re-sectioning the city: mobility became stratified by speed and function, while the transportation node was linked directly to a new business district of office towers, cultural institutions, shops, and restaurants extending along the main axis. The city center was no longer conceived as a single square or Beaux-Arts nucleus, but as a</w:t>
      </w:r>
      <w:r>
        <w:t xml:space="preserve"> </w:t>
      </w:r>
      <w:r>
        <w:rPr>
          <w:b/>
          <w:bCs/>
        </w:rPr>
        <w:t xml:space="preserve">linear, infrastructural spine</w:t>
      </w:r>
      <w:r>
        <w:t xml:space="preserve"> </w:t>
      </w:r>
      <w:r>
        <w:t xml:space="preserve">stretching toward the Vardar.</w:t>
      </w:r>
      <w:r>
        <w:t xml:space="preserve"> </w:t>
      </w:r>
      <w:hyperlink r:id="rId28">
        <w:r>
          <w:rPr>
            <w:rStyle w:val="Hyperlink"/>
          </w:rPr>
          <w:t xml:space="preserve">[18]</w:t>
        </w:r>
      </w:hyperlink>
    </w:p>
    <w:p>
      <w:pPr>
        <w:pStyle w:val="BodyText"/>
      </w:pPr>
      <w:r>
        <w:t xml:space="preserve">The</w:t>
      </w:r>
      <w:r>
        <w:t xml:space="preserve"> </w:t>
      </w:r>
      <w:r>
        <w:rPr>
          <w:b/>
          <w:bCs/>
        </w:rPr>
        <w:t xml:space="preserve">City Wall</w:t>
      </w:r>
      <w:r>
        <w:t xml:space="preserve"> </w:t>
      </w:r>
      <w:r>
        <w:t xml:space="preserve">did the opposite kind of work. If the Gate orchestrated arrival and movement, the Wall stabilized urban life. In the initial proposal it stretched on both banks of the Vardar, framing the central business district and introducing housing as a permanent use at the center rather than relegating dwelling to the suburban periphery. Docomomo’s reconstruction of the plan shows that the original wall comprised apartment blocks of uniform height, residences above, shops and neighborhood facilities below, and bold cylindrical shafts housing circulation. Those cylindrical elements gave the ensemble a legible skyline and, according to the authors, also echoed the form of Skopje’s fortress tower—an important reminder that Tange’s megastructure was not indifferent to local memory, even when its language was aggressively modern.</w:t>
      </w:r>
      <w:r>
        <w:t xml:space="preserve"> </w:t>
      </w:r>
      <w:hyperlink r:id="rId22">
        <w:r>
          <w:rPr>
            <w:rStyle w:val="Hyperlink"/>
          </w:rPr>
          <w:t xml:space="preserve">[19]</w:t>
        </w:r>
      </w:hyperlink>
    </w:p>
    <w:p>
      <w:pPr>
        <w:pStyle w:val="BodyText"/>
      </w:pPr>
      <w:r>
        <w:t xml:space="preserve">Two axes organized the urban syntax. The</w:t>
      </w:r>
      <w:r>
        <w:t xml:space="preserve"> </w:t>
      </w:r>
      <w:r>
        <w:rPr>
          <w:b/>
          <w:bCs/>
        </w:rPr>
        <w:t xml:space="preserve">New Axis</w:t>
      </w:r>
      <w:r>
        <w:t xml:space="preserve">, running east-west, carried the raised pedestrian deck and linked clusters of state, commercial, and cultural functions. The</w:t>
      </w:r>
      <w:r>
        <w:t xml:space="preserve"> </w:t>
      </w:r>
      <w:r>
        <w:rPr>
          <w:b/>
          <w:bCs/>
        </w:rPr>
        <w:t xml:space="preserve">Old Axis</w:t>
      </w:r>
      <w:r>
        <w:t xml:space="preserve"> </w:t>
      </w:r>
      <w:r>
        <w:t xml:space="preserve">converted existing urban directionality into a new pedestrian spine. Their intersection at the main square is one of the plan’s most revealing moments: rather than erase the city before 1963, Tange attempted to metabolize it, allowing older tissues to persist and change “inside the wall” while the new order supplied its infrastructural armature. This is one of the clearest ways that Skopje differs from a tabula-rasa modernism. The project was radical, but it was not entirely blank.</w:t>
      </w:r>
      <w:r>
        <w:t xml:space="preserve"> </w:t>
      </w:r>
      <w:hyperlink r:id="rId22">
        <w:r>
          <w:rPr>
            <w:rStyle w:val="Hyperlink"/>
          </w:rPr>
          <w:t xml:space="preserve">[20]</w:t>
        </w:r>
      </w:hyperlink>
    </w:p>
    <w:p>
      <w:pPr>
        <w:pStyle w:val="BodyText"/>
      </w:pPr>
      <w:r>
        <w:t xml:space="preserve">Architecturally, the plan is unmistakably late-modern and Metabolist. Harvard’s archive describes a modular system combining cylindrical service towers with horizontal volumes, anticipating the logic seen in Tange’s Kofu/Yamanashi prototype. It also emphasizes the distinction between pedestrian and vehicular movement, the use of elevated decks, mixed-use concentration, and the role of the Vardar River as a civic spine flanked by parks, open plazas, and green corridors. In material and formal terms, the project privileged exposed concrete, large geometric masses, and the monumental articulation of infrastructure. Its typological identity is thus properly urban rather than architectural:</w:t>
      </w:r>
      <w:r>
        <w:t xml:space="preserve"> </w:t>
      </w:r>
      <w:r>
        <w:rPr>
          <w:b/>
          <w:bCs/>
        </w:rPr>
        <w:t xml:space="preserve">megastructure, linear city, mixed-use core</w:t>
      </w:r>
      <w:r>
        <w:t xml:space="preserve">.</w:t>
      </w:r>
      <w:r>
        <w:t xml:space="preserve"> </w:t>
      </w:r>
      <w:hyperlink r:id="rId28">
        <w:r>
          <w:rPr>
            <w:rStyle w:val="Hyperlink"/>
          </w:rPr>
          <w:t xml:space="preserve">[21]</w:t>
        </w:r>
      </w:hyperlink>
    </w:p>
    <w:p>
      <w:pPr>
        <w:pStyle w:val="BodyText"/>
      </w:pPr>
      <w:r>
        <w:t xml:space="preserve">For publication layout in</w:t>
      </w:r>
      <w:r>
        <w:t xml:space="preserve"> </w:t>
      </w:r>
      <w:r>
        <w:rPr>
          <w:i/>
          <w:iCs/>
        </w:rPr>
        <w:t xml:space="preserve">Muzej</w:t>
      </w:r>
      <w:r>
        <w:t xml:space="preserve">, the most useful readily citable visual packet is already dispersed across accessible sources: Tange Associates still hosts two model photographs—an aerial model view and a river-level perspective—and Harvard’s Urban Design Case Study Archive identifies reproductions of the</w:t>
      </w:r>
      <w:r>
        <w:t xml:space="preserve"> </w:t>
      </w:r>
      <w:r>
        <w:rPr>
          <w:b/>
          <w:bCs/>
        </w:rPr>
        <w:t xml:space="preserve">general plan</w:t>
      </w:r>
      <w:r>
        <w:t xml:space="preserve">,</w:t>
      </w:r>
      <w:r>
        <w:t xml:space="preserve"> </w:t>
      </w:r>
      <w:r>
        <w:rPr>
          <w:b/>
          <w:bCs/>
        </w:rPr>
        <w:t xml:space="preserve">land-use plan</w:t>
      </w:r>
      <w:r>
        <w:t xml:space="preserve">, and</w:t>
      </w:r>
      <w:r>
        <w:t xml:space="preserve"> </w:t>
      </w:r>
      <w:r>
        <w:rPr>
          <w:b/>
          <w:bCs/>
        </w:rPr>
        <w:t xml:space="preserve">study plan</w:t>
      </w:r>
      <w:r>
        <w:t xml:space="preserve"> </w:t>
      </w:r>
      <w:r>
        <w:t xml:space="preserve">held by the Frances Loeb Library. Together, those materials allow a reader to move from diagram to model to territory without relying on secondary redrawing alone.</w:t>
      </w:r>
      <w:r>
        <w:t xml:space="preserve"> </w:t>
      </w:r>
      <w:hyperlink r:id="rId35">
        <w:r>
          <w:rPr>
            <w:rStyle w:val="Hyperlink"/>
          </w:rPr>
          <w:t xml:space="preserve">[22]</w:t>
        </w:r>
      </w:hyperlink>
    </w:p>
    <w:bookmarkEnd w:id="36"/>
    <w:bookmarkStart w:id="38" w:name="Xc429a52d7ef9a490263326a9bf6035f8399570b"/>
    <w:p>
      <w:pPr>
        <w:pStyle w:val="Heading2"/>
      </w:pPr>
      <w:r>
        <w:t xml:space="preserve">Realization, distortion, and urban afterlife</w:t>
      </w:r>
    </w:p>
    <w:p>
      <w:pPr>
        <w:pStyle w:val="FirstParagraph"/>
      </w:pPr>
      <w:r>
        <w:t xml:space="preserve">The standard story—that Tange won and Skopje was rebuilt according to his Metabolist vision—is too clean. In reality, the competition entry was translated into what later sources call the</w:t>
      </w:r>
      <w:r>
        <w:t xml:space="preserve"> </w:t>
      </w:r>
      <w:r>
        <w:rPr>
          <w:b/>
          <w:bCs/>
        </w:rPr>
        <w:t xml:space="preserve">“ninth project”</w:t>
      </w:r>
      <w:r>
        <w:t xml:space="preserve">, a mixed development plan that drew on all entries but followed Tange primarily. The brief itself soon became outdated as new buildings were added and the city-center plan was subordinated to the broader master plan. The plan’s most dramatic revisions affected the City Wall: wind-tunnel testing and critiques about blocked transverse views, interrupted air currents, and the excessive scale and continuity of the apartment blocks led to the abandonment of the left-bank segment and to substantial redesign. The raised pedestrian deck largely disappeared in the realized housing complex.</w:t>
      </w:r>
      <w:r>
        <w:t xml:space="preserve"> </w:t>
      </w:r>
      <w:hyperlink r:id="rId22">
        <w:r>
          <w:rPr>
            <w:rStyle w:val="Hyperlink"/>
          </w:rPr>
          <w:t xml:space="preserve">[19]</w:t>
        </w:r>
      </w:hyperlink>
    </w:p>
    <w:p>
      <w:pPr>
        <w:pStyle w:val="BodyText"/>
      </w:pPr>
      <w:r>
        <w:t xml:space="preserve">This stage is one of the most architecturally instructive. Skopje demonstrates that when megastructure leaves the competition board and enters implementation, it is often thinned, broken, and localized. Tange himself later expressed surprise that his team’s 1:500 drawings were turned into construction projects without their continued involvement, remarking that a subtler ensemble might otherwise have emerged. What survived, then, was not the totalized megastructure so much as an</w:t>
      </w:r>
      <w:r>
        <w:t xml:space="preserve"> </w:t>
      </w:r>
      <w:r>
        <w:rPr>
          <w:b/>
          <w:bCs/>
        </w:rPr>
        <w:t xml:space="preserve">urban residue</w:t>
      </w:r>
      <w:r>
        <w:t xml:space="preserve"> </w:t>
      </w:r>
      <w:r>
        <w:t xml:space="preserve">of it: the perimeter logic, the mix of towers and slabs, the centrality of housing, and the symbolic vocabulary of gate and wall.</w:t>
      </w:r>
      <w:r>
        <w:t xml:space="preserve"> </w:t>
      </w:r>
      <w:hyperlink r:id="rId22">
        <w:r>
          <w:rPr>
            <w:rStyle w:val="Hyperlink"/>
          </w:rPr>
          <w:t xml:space="preserve">[19]</w:t>
        </w:r>
      </w:hyperlink>
    </w:p>
    <w:p>
      <w:pPr>
        <w:pStyle w:val="BodyText"/>
      </w:pPr>
      <w:r>
        <w:t xml:space="preserve">Even so, the realized city remains deeply marked by Tange’s scheme. The Docomomo study argues that the</w:t>
      </w:r>
      <w:r>
        <w:t xml:space="preserve"> </w:t>
      </w:r>
      <w:r>
        <w:rPr>
          <w:b/>
          <w:bCs/>
        </w:rPr>
        <w:t xml:space="preserve">City Wall</w:t>
      </w:r>
      <w:r>
        <w:t xml:space="preserve"> </w:t>
      </w:r>
      <w:r>
        <w:t xml:space="preserve">is the only segment of the proposal that was almost fully completed and that it became one of the defining elements of Skopje’s skyline. The</w:t>
      </w:r>
      <w:r>
        <w:t xml:space="preserve"> </w:t>
      </w:r>
      <w:r>
        <w:rPr>
          <w:b/>
          <w:bCs/>
        </w:rPr>
        <w:t xml:space="preserve">transportation center</w:t>
      </w:r>
      <w:r>
        <w:t xml:space="preserve">, meanwhile, realized the City Gate only in part. The official history of Macedonian Railways notes that the new Skopje railway junction and passenger station opened on</w:t>
      </w:r>
      <w:r>
        <w:t xml:space="preserve"> </w:t>
      </w:r>
      <w:r>
        <w:rPr>
          <w:b/>
          <w:bCs/>
        </w:rPr>
        <w:t xml:space="preserve">27 July 1981</w:t>
      </w:r>
      <w:r>
        <w:t xml:space="preserve">, long after the initial competition, which is itself revealing: the plan’s infrastructural ambitions outlived its original moment and continued to shape building decisions into the late socialist period.</w:t>
      </w:r>
      <w:r>
        <w:t xml:space="preserve"> </w:t>
      </w:r>
      <w:hyperlink r:id="rId22">
        <w:r>
          <w:rPr>
            <w:rStyle w:val="Hyperlink"/>
          </w:rPr>
          <w:t xml:space="preserve">[23]</w:t>
        </w:r>
      </w:hyperlink>
    </w:p>
    <w:p>
      <w:pPr>
        <w:pStyle w:val="BodyText"/>
      </w:pPr>
      <w:r>
        <w:t xml:space="preserve">Long-term urban impact is therefore best described in three layers. The first is</w:t>
      </w:r>
      <w:r>
        <w:t xml:space="preserve"> </w:t>
      </w:r>
      <w:r>
        <w:rPr>
          <w:b/>
          <w:bCs/>
        </w:rPr>
        <w:t xml:space="preserve">morphological</w:t>
      </w:r>
      <w:r>
        <w:t xml:space="preserve">: the plan established a center structured by infrastructural clarity, mixed-use concentration, and a strong housing edge. The second is</w:t>
      </w:r>
      <w:r>
        <w:t xml:space="preserve"> </w:t>
      </w:r>
      <w:r>
        <w:rPr>
          <w:b/>
          <w:bCs/>
        </w:rPr>
        <w:t xml:space="preserve">symbolic</w:t>
      </w:r>
      <w:r>
        <w:t xml:space="preserve">: it gave Skopje a new late-modern identity legible internationally and locally. The third is</w:t>
      </w:r>
      <w:r>
        <w:t xml:space="preserve"> </w:t>
      </w:r>
      <w:r>
        <w:rPr>
          <w:b/>
          <w:bCs/>
        </w:rPr>
        <w:t xml:space="preserve">methodological</w:t>
      </w:r>
      <w:r>
        <w:t xml:space="preserve">: it helped produce what later local scholarship calls a successful planning system and a unified environment of post-earthquake construction, even if the “utopia” remained unfinished. Jana Brsakoska argues that Tange’s masterplan created a new urban matrix that functioned as a planning methodology for roughly three decades and that later buildings such as Živko Popovski’s City Trade Center worked positively within that matrix rather than against it.</w:t>
      </w:r>
      <w:r>
        <w:t xml:space="preserve"> </w:t>
      </w:r>
      <w:hyperlink r:id="rId37">
        <w:r>
          <w:rPr>
            <w:rStyle w:val="Hyperlink"/>
          </w:rPr>
          <w:t xml:space="preserve">[24]</w:t>
        </w:r>
      </w:hyperlink>
    </w:p>
    <w:p>
      <w:pPr>
        <w:pStyle w:val="BodyText"/>
      </w:pPr>
      <w:r>
        <w:t xml:space="preserve">The afterlife since the late 1980s and especially after 1991 has been less kind. The City Wall has suffered additions, enclosure of terraces, modified roofs, parking encroachment, façade changes, and density increases. Docomomo notes that despite recommendations in 2012 conservation outlines to protect it as cultural heritage, no full legal protection followed. A separate UKIM study on Skopje’s modernist heritage reaches a similar conclusion at city scale: many valuable modernist buildings are being retrofitted or altered in ways that degrade their authentic appearance, threatening the city’s architectural identity.</w:t>
      </w:r>
      <w:r>
        <w:t xml:space="preserve"> </w:t>
      </w:r>
      <w:hyperlink r:id="rId22">
        <w:r>
          <w:rPr>
            <w:rStyle w:val="Hyperlink"/>
          </w:rPr>
          <w:t xml:space="preserve">[25]</w:t>
        </w:r>
      </w:hyperlink>
    </w:p>
    <w:p>
      <w:pPr>
        <w:pStyle w:val="BodyText"/>
      </w:pPr>
      <w:r>
        <w:t xml:space="preserve">This degradation collides directly with the post-socialist project known as</w:t>
      </w:r>
      <w:r>
        <w:t xml:space="preserve"> </w:t>
      </w:r>
      <w:r>
        <w:rPr>
          <w:b/>
          <w:bCs/>
        </w:rPr>
        <w:t xml:space="preserve">“Skopje 2014.”</w:t>
      </w:r>
      <w:r>
        <w:t xml:space="preserve"> </w:t>
      </w:r>
      <w:r>
        <w:t xml:space="preserve">Brsakoska’s analysis describes that program as a politically driven makeover that recast public space and built heritage through neoclassical overlays and new construction, often without public participation or expert evaluation. Her comparison between the 1965 masterplan process and Skopje 2014 is especially sharp: where the former was a technically serious, internationally supported modernization effort, the latter is presented as an opaque and often destructive rebranding exercise. For architectural history, the irony is painful. The city once rebuilt as an emblem of modern solidarity became a testing ground for the symbolic erasure of that very modernity.</w:t>
      </w:r>
      <w:r>
        <w:t xml:space="preserve"> </w:t>
      </w:r>
      <w:hyperlink r:id="rId37">
        <w:r>
          <w:rPr>
            <w:rStyle w:val="Hyperlink"/>
          </w:rPr>
          <w:t xml:space="preserve">[24]</w:t>
        </w:r>
      </w:hyperlink>
    </w:p>
    <w:bookmarkEnd w:id="38"/>
    <w:bookmarkStart w:id="47" w:name="comparative-matrices-and-diagram-prompts"/>
    <w:p>
      <w:pPr>
        <w:pStyle w:val="Heading2"/>
      </w:pPr>
      <w:r>
        <w:t xml:space="preserve">Comparative matrices and diagram prompts</w:t>
      </w:r>
    </w:p>
    <w:p>
      <w:pPr>
        <w:pStyle w:val="FirstParagraph"/>
      </w:pPr>
      <w:r>
        <w:t xml:space="preserve">The comparison that matters most is not between “Japan” and “Yugoslavia,” but between different urban attitudes toward growth, structure, and civic meaning. In the Skopje competition, Tange’s proposal was the most synthetically Metabolist because it fused infrastructure and symbol into one urban device. Yet the other entries are important precisely because they show that Skopje was a crossroads of several late-modern tendencies at once: Team X spatial thinking, organic urbanism, megastructural speculation, and more restrained modern planning.</w:t>
      </w:r>
      <w:r>
        <w:t xml:space="preserve"> </w:t>
      </w:r>
      <w:hyperlink r:id="rId22">
        <w:r>
          <w:rPr>
            <w:rStyle w:val="Hyperlink"/>
          </w:rPr>
          <w:t xml:space="preserve">[15]</w:t>
        </w:r>
      </w:hyperlink>
    </w:p>
    <w:bookmarkStart w:id="40" w:name="skopje-competition-proposals"/>
    <w:p>
      <w:pPr>
        <w:pStyle w:val="Heading3"/>
      </w:pPr>
      <w:r>
        <w:t xml:space="preserve">Skopje competition proposals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Team</w:t>
            </w:r>
          </w:p>
        </w:tc>
        <w:tc>
          <w:tcPr/>
          <w:p>
            <w:pPr>
              <w:pStyle w:val="Compact"/>
            </w:pPr>
            <w:r>
              <w:t xml:space="preserve">Urban logic</w:t>
            </w:r>
          </w:p>
        </w:tc>
        <w:tc>
          <w:tcPr/>
          <w:p>
            <w:pPr>
              <w:pStyle w:val="Compact"/>
            </w:pPr>
            <w:r>
              <w:t xml:space="preserve">Program</w:t>
            </w:r>
          </w:p>
        </w:tc>
        <w:tc>
          <w:tcPr/>
          <w:p>
            <w:pPr>
              <w:pStyle w:val="Compact"/>
            </w:pPr>
            <w:r>
              <w:t xml:space="preserve">Scale</w:t>
            </w:r>
          </w:p>
        </w:tc>
        <w:tc>
          <w:tcPr/>
          <w:p>
            <w:pPr>
              <w:pStyle w:val="Compact"/>
            </w:pPr>
            <w:r>
              <w:t xml:space="preserve">Structural and material logic</w:t>
            </w:r>
          </w:p>
        </w:tc>
        <w:tc>
          <w:tcPr/>
          <w:p>
            <w:pPr>
              <w:pStyle w:val="Compact"/>
            </w:pPr>
            <w:r>
              <w:t xml:space="preserve">Status and legacy</w:t>
            </w:r>
          </w:p>
        </w:tc>
      </w:tr>
      <w:tr>
        <w:tc>
          <w:tcPr/>
          <w:p>
            <w:pPr>
              <w:pStyle w:val="Compact"/>
            </w:pPr>
            <w:r>
              <w:rPr>
                <w:b/>
                <w:bCs/>
              </w:rPr>
              <w:t xml:space="preserve">Kenzo Tange Team</w:t>
            </w:r>
          </w:p>
        </w:tc>
        <w:tc>
          <w:tcPr/>
          <w:p>
            <w:pPr>
              <w:pStyle w:val="Compact"/>
            </w:pPr>
            <w:r>
              <w:t xml:space="preserve">City Gate + City Wall; linearized center; New Axis/Old Axis; symbolic megastructure</w:t>
            </w:r>
          </w:p>
        </w:tc>
        <w:tc>
          <w:tcPr/>
          <w:p>
            <w:pPr>
              <w:pStyle w:val="Compact"/>
            </w:pPr>
            <w:r>
              <w:t xml:space="preserve">Transportation hub, CBD, housing edge, state/cultural/commercial clusters, civic square</w:t>
            </w:r>
          </w:p>
        </w:tc>
        <w:tc>
          <w:tcPr/>
          <w:p>
            <w:pPr>
              <w:pStyle w:val="Compact"/>
            </w:pPr>
            <w:r>
              <w:t xml:space="preserve">Official Tange project page lists</w:t>
            </w:r>
            <w:r>
              <w:t xml:space="preserve"> </w:t>
            </w:r>
            <w:r>
              <w:rPr>
                <w:b/>
                <w:bCs/>
              </w:rPr>
              <w:t xml:space="preserve">2,900,000 m²</w:t>
            </w:r>
            <w:r>
              <w:t xml:space="preserve"> </w:t>
            </w:r>
            <w:r>
              <w:t xml:space="preserve">site area for the city-center reconstruction plan</w:t>
            </w:r>
          </w:p>
        </w:tc>
        <w:tc>
          <w:tcPr/>
          <w:p>
            <w:pPr>
              <w:pStyle w:val="Compact"/>
            </w:pPr>
            <w:r>
              <w:t xml:space="preserve">Multi-level transit core; modular horizontal slabs and cylindrical service shafts; exposed-concrete late-modern language; raised pedestrian deck in early versions</w:t>
            </w:r>
          </w:p>
        </w:tc>
        <w:tc>
          <w:tcPr/>
          <w:p>
            <w:pPr>
              <w:pStyle w:val="Compact"/>
            </w:pPr>
            <w:r>
              <w:t xml:space="preserve">Won</w:t>
            </w:r>
            <w:r>
              <w:t xml:space="preserve"> </w:t>
            </w:r>
            <w:r>
              <w:rPr>
                <w:b/>
                <w:bCs/>
              </w:rPr>
              <w:t xml:space="preserve">60%</w:t>
            </w:r>
            <w:r>
              <w:t xml:space="preserve"> </w:t>
            </w:r>
            <w:r>
              <w:t xml:space="preserve">of first prize; became the main basis of the later “ninth project”; partially realized through the City Wall and transportation center, though many megastructural elements remained unbuilt or were heavily revised.</w:t>
            </w:r>
            <w:r>
              <w:t xml:space="preserve"> </w:t>
            </w:r>
            <w:hyperlink r:id="rId39">
              <w:r>
                <w:rPr>
                  <w:rStyle w:val="Hyperlink"/>
                </w:rPr>
                <w:t xml:space="preserve">[26]</w:t>
              </w:r>
            </w:hyperlink>
          </w:p>
        </w:tc>
      </w:tr>
      <w:tr>
        <w:tc>
          <w:tcPr/>
          <w:p>
            <w:pPr>
              <w:pStyle w:val="Compact"/>
            </w:pPr>
            <w:r>
              <w:rPr>
                <w:b/>
                <w:bCs/>
              </w:rPr>
              <w:t xml:space="preserve">Miščević and Wenzler</w:t>
            </w:r>
          </w:p>
        </w:tc>
        <w:tc>
          <w:tcPr/>
          <w:p>
            <w:pPr>
              <w:pStyle w:val="Compact"/>
            </w:pPr>
            <w:r>
              <w:t xml:space="preserve">Deliberately restrained urbanism, avoiding formal exaggeration</w:t>
            </w:r>
          </w:p>
        </w:tc>
        <w:tc>
          <w:tcPr/>
          <w:p>
            <w:pPr>
              <w:pStyle w:val="Compact"/>
            </w:pPr>
            <w:r>
              <w:t xml:space="preserve">City-center reconstruction</w:t>
            </w:r>
          </w:p>
        </w:tc>
        <w:tc>
          <w:tcPr/>
          <w:p>
            <w:pPr>
              <w:pStyle w:val="Compact"/>
            </w:pPr>
            <w:r>
              <w:t xml:space="preserve">City-center competition entry</w:t>
            </w:r>
          </w:p>
        </w:tc>
        <w:tc>
          <w:tcPr/>
          <w:p>
            <w:pPr>
              <w:pStyle w:val="Compact"/>
            </w:pPr>
            <w:r>
              <w:t xml:space="preserve">Accessible digital sources reviewed here do not publish a clear structural/material description</w:t>
            </w:r>
          </w:p>
        </w:tc>
        <w:tc>
          <w:tcPr/>
          <w:p>
            <w:pPr>
              <w:pStyle w:val="Compact"/>
            </w:pPr>
            <w:r>
              <w:t xml:space="preserve">Won</w:t>
            </w:r>
            <w:r>
              <w:t xml:space="preserve"> </w:t>
            </w:r>
            <w:r>
              <w:rPr>
                <w:b/>
                <w:bCs/>
              </w:rPr>
              <w:t xml:space="preserve">40%</w:t>
            </w:r>
            <w:r>
              <w:t xml:space="preserve"> </w:t>
            </w:r>
            <w:r>
              <w:t xml:space="preserve">of first prize; representatives joined the mixed team that prepared the development plan for the center.</w:t>
            </w:r>
            <w:r>
              <w:t xml:space="preserve"> </w:t>
            </w:r>
            <w:hyperlink r:id="rId22">
              <w:r>
                <w:rPr>
                  <w:rStyle w:val="Hyperlink"/>
                </w:rPr>
                <w:t xml:space="preserve">[27]</w:t>
              </w:r>
            </w:hyperlink>
          </w:p>
        </w:tc>
      </w:tr>
      <w:tr>
        <w:tc>
          <w:tcPr/>
          <w:p>
            <w:pPr>
              <w:pStyle w:val="Compact"/>
            </w:pPr>
            <w:r>
              <w:rPr>
                <w:b/>
                <w:bCs/>
              </w:rPr>
              <w:t xml:space="preserve">Van den Broek and Bakema</w:t>
            </w:r>
          </w:p>
        </w:tc>
        <w:tc>
          <w:tcPr/>
          <w:p>
            <w:pPr>
              <w:pStyle w:val="Compact"/>
            </w:pPr>
            <w:r>
              <w:t xml:space="preserve">Team X–inflected spatial solution</w:t>
            </w:r>
          </w:p>
        </w:tc>
        <w:tc>
          <w:tcPr/>
          <w:p>
            <w:pPr>
              <w:pStyle w:val="Compact"/>
            </w:pPr>
            <w:r>
              <w:t xml:space="preserve">City-center reconstruction</w:t>
            </w:r>
          </w:p>
        </w:tc>
        <w:tc>
          <w:tcPr/>
          <w:p>
            <w:pPr>
              <w:pStyle w:val="Compact"/>
            </w:pPr>
            <w:r>
              <w:t xml:space="preserve">City-center competition entry</w:t>
            </w:r>
          </w:p>
        </w:tc>
        <w:tc>
          <w:tcPr/>
          <w:p>
            <w:pPr>
              <w:pStyle w:val="Compact"/>
            </w:pPr>
            <w:r>
              <w:t xml:space="preserve">Not clearly documented in the accessible digital archive reviewed</w:t>
            </w:r>
          </w:p>
        </w:tc>
        <w:tc>
          <w:tcPr/>
          <w:p>
            <w:pPr>
              <w:pStyle w:val="Compact"/>
            </w:pPr>
            <w:r>
              <w:t xml:space="preserve">Not awarded, but identified in later scholarship as one of the conceptually strong entries in the competition field.</w:t>
            </w:r>
            <w:r>
              <w:t xml:space="preserve"> </w:t>
            </w:r>
            <w:hyperlink r:id="rId22">
              <w:r>
                <w:rPr>
                  <w:rStyle w:val="Hyperlink"/>
                </w:rPr>
                <w:t xml:space="preserve">[28]</w:t>
              </w:r>
            </w:hyperlink>
          </w:p>
        </w:tc>
      </w:tr>
      <w:tr>
        <w:tc>
          <w:tcPr/>
          <w:p>
            <w:pPr>
              <w:pStyle w:val="Compact"/>
            </w:pPr>
            <w:r>
              <w:rPr>
                <w:b/>
                <w:bCs/>
              </w:rPr>
              <w:t xml:space="preserve">Edvard Ravnikar Team</w:t>
            </w:r>
          </w:p>
        </w:tc>
        <w:tc>
          <w:tcPr/>
          <w:p>
            <w:pPr>
              <w:pStyle w:val="Compact"/>
            </w:pPr>
            <w:r>
              <w:t xml:space="preserve">Team X–inflected spatial solution</w:t>
            </w:r>
          </w:p>
        </w:tc>
        <w:tc>
          <w:tcPr/>
          <w:p>
            <w:pPr>
              <w:pStyle w:val="Compact"/>
            </w:pPr>
            <w:r>
              <w:t xml:space="preserve">City-center reconstruction</w:t>
            </w:r>
          </w:p>
        </w:tc>
        <w:tc>
          <w:tcPr/>
          <w:p>
            <w:pPr>
              <w:pStyle w:val="Compact"/>
            </w:pPr>
            <w:r>
              <w:t xml:space="preserve">City-center competition entry</w:t>
            </w:r>
          </w:p>
        </w:tc>
        <w:tc>
          <w:tcPr/>
          <w:p>
            <w:pPr>
              <w:pStyle w:val="Compact"/>
            </w:pPr>
            <w:r>
              <w:t xml:space="preserve">Not clearly documented in the accessible digital archive reviewed</w:t>
            </w:r>
          </w:p>
        </w:tc>
        <w:tc>
          <w:tcPr/>
          <w:p>
            <w:pPr>
              <w:pStyle w:val="Compact"/>
            </w:pPr>
            <w:r>
              <w:t xml:space="preserve">Not awarded; important as part of the Yugoslav contribution to the competition’s urban debate.</w:t>
            </w:r>
            <w:r>
              <w:t xml:space="preserve"> </w:t>
            </w:r>
            <w:hyperlink r:id="rId22">
              <w:r>
                <w:rPr>
                  <w:rStyle w:val="Hyperlink"/>
                </w:rPr>
                <w:t xml:space="preserve">[28]</w:t>
              </w:r>
            </w:hyperlink>
          </w:p>
        </w:tc>
      </w:tr>
      <w:tr>
        <w:tc>
          <w:tcPr/>
          <w:p>
            <w:pPr>
              <w:pStyle w:val="Compact"/>
            </w:pPr>
            <w:r>
              <w:rPr>
                <w:b/>
                <w:bCs/>
              </w:rPr>
              <w:t xml:space="preserve">Maurice Rotival and Associates</w:t>
            </w:r>
          </w:p>
        </w:tc>
        <w:tc>
          <w:tcPr/>
          <w:p>
            <w:pPr>
              <w:pStyle w:val="Compact"/>
            </w:pPr>
            <w:r>
              <w:t xml:space="preserve">Modified megastructure</w:t>
            </w:r>
          </w:p>
        </w:tc>
        <w:tc>
          <w:tcPr/>
          <w:p>
            <w:pPr>
              <w:pStyle w:val="Compact"/>
            </w:pPr>
            <w:r>
              <w:t xml:space="preserve">City-center reconstruction</w:t>
            </w:r>
          </w:p>
        </w:tc>
        <w:tc>
          <w:tcPr/>
          <w:p>
            <w:pPr>
              <w:pStyle w:val="Compact"/>
            </w:pPr>
            <w:r>
              <w:t xml:space="preserve">City-center competition entry</w:t>
            </w:r>
          </w:p>
        </w:tc>
        <w:tc>
          <w:tcPr/>
          <w:p>
            <w:pPr>
              <w:pStyle w:val="Compact"/>
            </w:pPr>
            <w:r>
              <w:t xml:space="preserve">Not clearly documented in the accessible digital archive reviewed</w:t>
            </w:r>
          </w:p>
        </w:tc>
        <w:tc>
          <w:tcPr/>
          <w:p>
            <w:pPr>
              <w:pStyle w:val="Compact"/>
            </w:pPr>
            <w:r>
              <w:t xml:space="preserve">Unbuilt; evidence survives mainly through later textual summaries rather than richly digitized original material.</w:t>
            </w:r>
            <w:r>
              <w:t xml:space="preserve"> </w:t>
            </w:r>
            <w:hyperlink r:id="rId22">
              <w:r>
                <w:rPr>
                  <w:rStyle w:val="Hyperlink"/>
                </w:rPr>
                <w:t xml:space="preserve">[28]</w:t>
              </w:r>
            </w:hyperlink>
          </w:p>
        </w:tc>
      </w:tr>
      <w:tr>
        <w:tc>
          <w:tcPr/>
          <w:p>
            <w:pPr>
              <w:pStyle w:val="Compact"/>
            </w:pPr>
            <w:r>
              <w:rPr>
                <w:b/>
                <w:bCs/>
              </w:rPr>
              <w:t xml:space="preserve">Luigi Piccinato and Studio Scimemi</w:t>
            </w:r>
          </w:p>
        </w:tc>
        <w:tc>
          <w:tcPr/>
          <w:p>
            <w:pPr>
              <w:pStyle w:val="Compact"/>
            </w:pPr>
            <w:r>
              <w:t xml:space="preserve">Postwar organic-architecture approach</w:t>
            </w:r>
          </w:p>
        </w:tc>
        <w:tc>
          <w:tcPr/>
          <w:p>
            <w:pPr>
              <w:pStyle w:val="Compact"/>
            </w:pPr>
            <w:r>
              <w:t xml:space="preserve">City-center reconstruction</w:t>
            </w:r>
          </w:p>
        </w:tc>
        <w:tc>
          <w:tcPr/>
          <w:p>
            <w:pPr>
              <w:pStyle w:val="Compact"/>
            </w:pPr>
            <w:r>
              <w:t xml:space="preserve">City-center competition entry</w:t>
            </w:r>
          </w:p>
        </w:tc>
        <w:tc>
          <w:tcPr/>
          <w:p>
            <w:pPr>
              <w:pStyle w:val="Compact"/>
            </w:pPr>
            <w:r>
              <w:t xml:space="preserve">Not clearly documented in the accessible digital archive reviewed</w:t>
            </w:r>
          </w:p>
        </w:tc>
        <w:tc>
          <w:tcPr/>
          <w:p>
            <w:pPr>
              <w:pStyle w:val="Compact"/>
            </w:pPr>
            <w:r>
              <w:t xml:space="preserve">Unbuilt; important as a non-megastructural counterpoint inside the competition.</w:t>
            </w:r>
            <w:r>
              <w:t xml:space="preserve"> </w:t>
            </w:r>
            <w:hyperlink r:id="rId22">
              <w:r>
                <w:rPr>
                  <w:rStyle w:val="Hyperlink"/>
                </w:rPr>
                <w:t xml:space="preserve">[28]</w:t>
              </w:r>
            </w:hyperlink>
          </w:p>
        </w:tc>
      </w:tr>
    </w:tbl>
    <w:p>
      <w:pPr>
        <w:pStyle w:val="BodyText"/>
      </w:pPr>
      <w:r>
        <w:t xml:space="preserve">What the table makes clear is that only Tange’s proposal survives in accessible archival circulation with enough clarity to reconstruct both its symbolic language and its sectional urbanism. For the other entries, current open-access evidence is disproportionately textual; the lack of freely available competition boards is itself a historiographic problem, not merely an inconvenience.</w:t>
      </w:r>
      <w:r>
        <w:t xml:space="preserve"> </w:t>
      </w:r>
      <w:hyperlink r:id="rId22">
        <w:r>
          <w:rPr>
            <w:rStyle w:val="Hyperlink"/>
          </w:rPr>
          <w:t xml:space="preserve">[29]</w:t>
        </w:r>
      </w:hyperlink>
    </w:p>
    <w:bookmarkEnd w:id="40"/>
    <w:bookmarkStart w:id="45" w:name="X1857697f0da287223044024088754dcd65f2fbb"/>
    <w:p>
      <w:pPr>
        <w:pStyle w:val="Heading3"/>
      </w:pPr>
      <w:r>
        <w:t xml:space="preserve">Skopje in relation to other Metabolist projects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Date</w:t>
            </w:r>
          </w:p>
        </w:tc>
        <w:tc>
          <w:tcPr/>
          <w:p>
            <w:pPr>
              <w:pStyle w:val="Compact"/>
            </w:pPr>
            <w:r>
              <w:t xml:space="preserve">Program</w:t>
            </w:r>
          </w:p>
        </w:tc>
        <w:tc>
          <w:tcPr/>
          <w:p>
            <w:pPr>
              <w:pStyle w:val="Compact"/>
            </w:pPr>
            <w:r>
              <w:t xml:space="preserve">Scale</w:t>
            </w:r>
          </w:p>
        </w:tc>
        <w:tc>
          <w:tcPr/>
          <w:p>
            <w:pPr>
              <w:pStyle w:val="Compact"/>
            </w:pPr>
            <w:r>
              <w:t xml:space="preserve">Structural and material logic</w:t>
            </w:r>
          </w:p>
        </w:tc>
        <w:tc>
          <w:tcPr/>
          <w:p>
            <w:pPr>
              <w:pStyle w:val="Compact"/>
            </w:pPr>
            <w:r>
              <w:t xml:space="preserve">Status</w:t>
            </w:r>
          </w:p>
        </w:tc>
      </w:tr>
      <w:tr>
        <w:tc>
          <w:tcPr/>
          <w:p>
            <w:pPr>
              <w:pStyle w:val="Compact"/>
            </w:pPr>
            <w:r>
              <w:rPr>
                <w:b/>
                <w:bCs/>
              </w:rPr>
              <w:t xml:space="preserve">A Plan for Tokyo</w:t>
            </w:r>
          </w:p>
        </w:tc>
        <w:tc>
          <w:tcPr/>
          <w:p>
            <w:pPr>
              <w:pStyle w:val="Compact"/>
            </w:pPr>
            <w:r>
              <w:t xml:space="preserve">1960</w:t>
            </w:r>
          </w:p>
        </w:tc>
        <w:tc>
          <w:tcPr/>
          <w:p>
            <w:pPr>
              <w:pStyle w:val="Compact"/>
            </w:pPr>
            <w:r>
              <w:t xml:space="preserve">Metropolitan expansion, transport, housing, administration, retail</w:t>
            </w:r>
          </w:p>
        </w:tc>
        <w:tc>
          <w:tcPr/>
          <w:p>
            <w:pPr>
              <w:pStyle w:val="Compact"/>
            </w:pPr>
            <w:r>
              <w:t xml:space="preserve">Approx.</w:t>
            </w:r>
            <w:r>
              <w:t xml:space="preserve"> </w:t>
            </w:r>
            <w:r>
              <w:rPr>
                <w:b/>
                <w:bCs/>
              </w:rPr>
              <w:t xml:space="preserve">18 km</w:t>
            </w:r>
            <w:r>
              <w:t xml:space="preserve"> </w:t>
            </w:r>
            <w:r>
              <w:t xml:space="preserve">linear megastructure for</w:t>
            </w:r>
            <w:r>
              <w:t xml:space="preserve"> </w:t>
            </w:r>
            <w:r>
              <w:rPr>
                <w:b/>
                <w:bCs/>
              </w:rPr>
              <w:t xml:space="preserve">5 million</w:t>
            </w:r>
            <w:r>
              <w:t xml:space="preserve"> </w:t>
            </w:r>
            <w:r>
              <w:t xml:space="preserve">additional residents</w:t>
            </w:r>
          </w:p>
        </w:tc>
        <w:tc>
          <w:tcPr/>
          <w:p>
            <w:pPr>
              <w:pStyle w:val="Compact"/>
            </w:pPr>
            <w:r>
              <w:t xml:space="preserve">Three-level infrastructural loops, artificial land, linear urban order over Tokyo Bay</w:t>
            </w:r>
          </w:p>
        </w:tc>
        <w:tc>
          <w:tcPr/>
          <w:p>
            <w:pPr>
              <w:pStyle w:val="Compact"/>
            </w:pPr>
            <w:r>
              <w:t xml:space="preserve">Unbuilt, but foundational to megastructural discourse and directly continuous with Skopje.</w:t>
            </w:r>
            <w:r>
              <w:t xml:space="preserve"> </w:t>
            </w:r>
            <w:hyperlink r:id="rId25">
              <w:r>
                <w:rPr>
                  <w:rStyle w:val="Hyperlink"/>
                </w:rPr>
                <w:t xml:space="preserve">[30]</w:t>
              </w:r>
            </w:hyperlink>
          </w:p>
        </w:tc>
      </w:tr>
      <w:tr>
        <w:tc>
          <w:tcPr/>
          <w:p>
            <w:pPr>
              <w:pStyle w:val="Compact"/>
            </w:pPr>
            <w:r>
              <w:rPr>
                <w:b/>
                <w:bCs/>
              </w:rPr>
              <w:t xml:space="preserve">Skopje Master Plan</w:t>
            </w:r>
          </w:p>
        </w:tc>
        <w:tc>
          <w:tcPr/>
          <w:p>
            <w:pPr>
              <w:pStyle w:val="Compact"/>
            </w:pPr>
            <w:r>
              <w:t xml:space="preserve">1965–66</w:t>
            </w:r>
          </w:p>
        </w:tc>
        <w:tc>
          <w:tcPr/>
          <w:p>
            <w:pPr>
              <w:pStyle w:val="Compact"/>
            </w:pPr>
            <w:r>
              <w:t xml:space="preserve">Transportation center, CBD, housing wall, civic and cultural spine</w:t>
            </w:r>
          </w:p>
        </w:tc>
        <w:tc>
          <w:tcPr/>
          <w:p>
            <w:pPr>
              <w:pStyle w:val="Compact"/>
            </w:pPr>
            <w:r>
              <w:t xml:space="preserve">Approx.</w:t>
            </w:r>
            <w:r>
              <w:t xml:space="preserve"> </w:t>
            </w:r>
            <w:r>
              <w:rPr>
                <w:b/>
                <w:bCs/>
              </w:rPr>
              <w:t xml:space="preserve">2.9 million m²</w:t>
            </w:r>
            <w:r>
              <w:t xml:space="preserve"> </w:t>
            </w:r>
            <w:r>
              <w:t xml:space="preserve">site area</w:t>
            </w:r>
          </w:p>
        </w:tc>
        <w:tc>
          <w:tcPr/>
          <w:p>
            <w:pPr>
              <w:pStyle w:val="Compact"/>
            </w:pPr>
            <w:r>
              <w:t xml:space="preserve">Multi-level transit node, modular slabs, cylindrical circulation towers, pedestrian deck, exposed-concrete monumental language</w:t>
            </w:r>
          </w:p>
        </w:tc>
        <w:tc>
          <w:tcPr/>
          <w:p>
            <w:pPr>
              <w:pStyle w:val="Compact"/>
            </w:pPr>
            <w:r>
              <w:t xml:space="preserve">Partially realized; strongest built remnants are the City Wall and transportation center.</w:t>
            </w:r>
            <w:r>
              <w:t xml:space="preserve"> </w:t>
            </w:r>
            <w:hyperlink r:id="rId39">
              <w:r>
                <w:rPr>
                  <w:rStyle w:val="Hyperlink"/>
                </w:rPr>
                <w:t xml:space="preserve">[31]</w:t>
              </w:r>
            </w:hyperlink>
          </w:p>
        </w:tc>
      </w:tr>
      <w:tr>
        <w:tc>
          <w:tcPr/>
          <w:p>
            <w:pPr>
              <w:pStyle w:val="Compact"/>
            </w:pPr>
            <w:r>
              <w:rPr>
                <w:b/>
                <w:bCs/>
              </w:rPr>
              <w:t xml:space="preserve">Yamanashi Press and Broadcasting Center</w:t>
            </w:r>
          </w:p>
        </w:tc>
        <w:tc>
          <w:tcPr/>
          <w:p>
            <w:pPr>
              <w:pStyle w:val="Compact"/>
            </w:pPr>
            <w:r>
              <w:t xml:space="preserve">1966</w:t>
            </w:r>
          </w:p>
        </w:tc>
        <w:tc>
          <w:tcPr/>
          <w:p>
            <w:pPr>
              <w:pStyle w:val="Compact"/>
            </w:pPr>
            <w:r>
              <w:t xml:space="preserve">Education, culture, media, office</w:t>
            </w:r>
          </w:p>
        </w:tc>
        <w:tc>
          <w:tcPr/>
          <w:p>
            <w:pPr>
              <w:pStyle w:val="Compact"/>
            </w:pPr>
            <w:r>
              <w:t xml:space="preserve">Site</w:t>
            </w:r>
            <w:r>
              <w:t xml:space="preserve"> </w:t>
            </w:r>
            <w:r>
              <w:rPr>
                <w:b/>
                <w:bCs/>
              </w:rPr>
              <w:t xml:space="preserve">4,036 m²</w:t>
            </w:r>
            <w:r>
              <w:t xml:space="preserve">; total floor area</w:t>
            </w:r>
            <w:r>
              <w:t xml:space="preserve"> </w:t>
            </w:r>
            <w:r>
              <w:rPr>
                <w:b/>
                <w:bCs/>
              </w:rPr>
              <w:t xml:space="preserve">18,085 m²</w:t>
            </w:r>
            <w:r>
              <w:t xml:space="preserve">; 8 stories + 2 basements</w:t>
            </w:r>
          </w:p>
        </w:tc>
        <w:tc>
          <w:tcPr/>
          <w:p>
            <w:pPr>
              <w:pStyle w:val="Compact"/>
            </w:pPr>
            <w:r>
              <w:t xml:space="preserve">Service cylinders and expandable infill spaces; built prototype of Tange’s growth logic</w:t>
            </w:r>
          </w:p>
        </w:tc>
        <w:tc>
          <w:tcPr/>
          <w:p>
            <w:pPr>
              <w:pStyle w:val="Compact"/>
            </w:pPr>
            <w:r>
              <w:t xml:space="preserve">Built. Official project page confirms the program and dimensions; Pritzker emphasizes its expansion-oriented service-core concept.</w:t>
            </w:r>
            <w:r>
              <w:t xml:space="preserve"> </w:t>
            </w:r>
            <w:hyperlink r:id="rId41">
              <w:r>
                <w:rPr>
                  <w:rStyle w:val="Hyperlink"/>
                </w:rPr>
                <w:t xml:space="preserve">[32]</w:t>
              </w:r>
            </w:hyperlink>
          </w:p>
        </w:tc>
      </w:tr>
      <w:tr>
        <w:tc>
          <w:tcPr/>
          <w:p>
            <w:pPr>
              <w:pStyle w:val="Compact"/>
            </w:pPr>
            <w:r>
              <w:rPr>
                <w:b/>
                <w:bCs/>
              </w:rPr>
              <w:t xml:space="preserve">Helix City Project</w:t>
            </w:r>
          </w:p>
        </w:tc>
        <w:tc>
          <w:tcPr/>
          <w:p>
            <w:pPr>
              <w:pStyle w:val="Compact"/>
            </w:pPr>
            <w:r>
              <w:t xml:space="preserve">1961</w:t>
            </w:r>
          </w:p>
        </w:tc>
        <w:tc>
          <w:tcPr/>
          <w:p>
            <w:pPr>
              <w:pStyle w:val="Compact"/>
            </w:pPr>
            <w:r>
              <w:t xml:space="preserve">Urban district proposal with linked residential and service towers</w:t>
            </w:r>
          </w:p>
        </w:tc>
        <w:tc>
          <w:tcPr/>
          <w:p>
            <w:pPr>
              <w:pStyle w:val="Compact"/>
            </w:pPr>
            <w:r>
              <w:t xml:space="preserve">Conceptual urban plan</w:t>
            </w:r>
          </w:p>
        </w:tc>
        <w:tc>
          <w:tcPr/>
          <w:p>
            <w:pPr>
              <w:pStyle w:val="Compact"/>
            </w:pPr>
            <w:r>
              <w:t xml:space="preserve">DNA-inspired helical urban growth; linked towers and bridges</w:t>
            </w:r>
          </w:p>
        </w:tc>
        <w:tc>
          <w:tcPr/>
          <w:p>
            <w:pPr>
              <w:pStyle w:val="Compact"/>
            </w:pPr>
            <w:r>
              <w:t xml:space="preserve">Unbuilt. MoMA presents it as a key early Metabolist vision.</w:t>
            </w:r>
            <w:r>
              <w:t xml:space="preserve"> </w:t>
            </w:r>
            <w:hyperlink r:id="rId42">
              <w:r>
                <w:rPr>
                  <w:rStyle w:val="Hyperlink"/>
                </w:rPr>
                <w:t xml:space="preserve">[33]</w:t>
              </w:r>
            </w:hyperlink>
          </w:p>
        </w:tc>
      </w:tr>
      <w:tr>
        <w:tc>
          <w:tcPr/>
          <w:p>
            <w:pPr>
              <w:pStyle w:val="Compact"/>
            </w:pPr>
            <w:r>
              <w:rPr>
                <w:b/>
                <w:bCs/>
              </w:rPr>
              <w:t xml:space="preserve">Joint Core System</w:t>
            </w:r>
          </w:p>
        </w:tc>
        <w:tc>
          <w:tcPr/>
          <w:p>
            <w:pPr>
              <w:pStyle w:val="Compact"/>
            </w:pPr>
            <w:r>
              <w:t xml:space="preserve">1960</w:t>
            </w:r>
          </w:p>
        </w:tc>
        <w:tc>
          <w:tcPr/>
          <w:p>
            <w:pPr>
              <w:pStyle w:val="Compact"/>
            </w:pPr>
            <w:r>
              <w:t xml:space="preserve">Elevated housing, offices, parks, walkways</w:t>
            </w:r>
          </w:p>
        </w:tc>
        <w:tc>
          <w:tcPr/>
          <w:p>
            <w:pPr>
              <w:pStyle w:val="Compact"/>
            </w:pPr>
            <w:r>
              <w:t xml:space="preserve">Conceptual urban plan</w:t>
            </w:r>
          </w:p>
        </w:tc>
        <w:tc>
          <w:tcPr/>
          <w:p>
            <w:pPr>
              <w:pStyle w:val="Compact"/>
            </w:pPr>
            <w:r>
              <w:t xml:space="preserve">Massive pylons carrying multilevel urban systems above the ground</w:t>
            </w:r>
          </w:p>
        </w:tc>
        <w:tc>
          <w:tcPr/>
          <w:p>
            <w:pPr>
              <w:pStyle w:val="Compact"/>
            </w:pPr>
            <w:r>
              <w:t xml:space="preserve">Unbuilt. MoMA explicitly links it to the same 1960 milieu in which Tange-affiliated architects issued the Metabolist manifesto.</w:t>
            </w:r>
            <w:r>
              <w:t xml:space="preserve"> </w:t>
            </w:r>
            <w:hyperlink r:id="rId43">
              <w:r>
                <w:rPr>
                  <w:rStyle w:val="Hyperlink"/>
                </w:rPr>
                <w:t xml:space="preserve">[34]</w:t>
              </w:r>
            </w:hyperlink>
          </w:p>
        </w:tc>
      </w:tr>
      <w:tr>
        <w:tc>
          <w:tcPr/>
          <w:p>
            <w:pPr>
              <w:pStyle w:val="Compact"/>
            </w:pPr>
            <w:r>
              <w:rPr>
                <w:b/>
                <w:bCs/>
              </w:rPr>
              <w:t xml:space="preserve">Nakagin Capsule Tower</w:t>
            </w:r>
          </w:p>
        </w:tc>
        <w:tc>
          <w:tcPr/>
          <w:p>
            <w:pPr>
              <w:pStyle w:val="Compact"/>
            </w:pPr>
            <w:r>
              <w:t xml:space="preserve">1970–72</w:t>
            </w:r>
          </w:p>
        </w:tc>
        <w:tc>
          <w:tcPr/>
          <w:p>
            <w:pPr>
              <w:pStyle w:val="Compact"/>
            </w:pPr>
            <w:r>
              <w:t xml:space="preserve">Single-occupancy urban living capsules</w:t>
            </w:r>
          </w:p>
        </w:tc>
        <w:tc>
          <w:tcPr/>
          <w:p>
            <w:pPr>
              <w:pStyle w:val="Compact"/>
            </w:pPr>
            <w:r>
              <w:rPr>
                <w:b/>
                <w:bCs/>
              </w:rPr>
              <w:t xml:space="preserve">140</w:t>
            </w:r>
            <w:r>
              <w:t xml:space="preserve"> </w:t>
            </w:r>
            <w:r>
              <w:t xml:space="preserve">capsules</w:t>
            </w:r>
          </w:p>
        </w:tc>
        <w:tc>
          <w:tcPr/>
          <w:p>
            <w:pPr>
              <w:pStyle w:val="Compact"/>
            </w:pPr>
            <w:r>
              <w:t xml:space="preserve">Prefabricated capsules attached to concrete-and-steel cores</w:t>
            </w:r>
          </w:p>
        </w:tc>
        <w:tc>
          <w:tcPr/>
          <w:p>
            <w:pPr>
              <w:pStyle w:val="Compact"/>
            </w:pPr>
            <w:r>
              <w:t xml:space="preserve">Built, later demolished in 2022; one restored capsule is now on view at MoMA.</w:t>
            </w:r>
            <w:r>
              <w:t xml:space="preserve"> </w:t>
            </w:r>
            <w:hyperlink r:id="rId44">
              <w:r>
                <w:rPr>
                  <w:rStyle w:val="Hyperlink"/>
                </w:rPr>
                <w:t xml:space="preserve">[35]</w:t>
              </w:r>
            </w:hyperlink>
          </w:p>
        </w:tc>
      </w:tr>
    </w:tbl>
    <w:p>
      <w:pPr>
        <w:pStyle w:val="BodyText"/>
      </w:pPr>
      <w:r>
        <w:t xml:space="preserve">The comparison underscores Skopje’s peculiarity. It shares Tokyo Bay’s linear infrastructural ambition, Yamanashi’s service-core modularity, and the larger Metabolist fascination with systems that can grow, extend, or be replaced over time. But unlike those projects, Skopje had to negotiate an existing city, international development agencies, and public expectations attached to a real post-disaster future. It is therefore less a pure Metabolist artifact than a</w:t>
      </w:r>
      <w:r>
        <w:t xml:space="preserve"> </w:t>
      </w:r>
      <w:r>
        <w:rPr>
          <w:b/>
          <w:bCs/>
        </w:rPr>
        <w:t xml:space="preserve">Metabolist urbanism under political and technical constraint</w:t>
      </w:r>
      <w:r>
        <w:t xml:space="preserve">.</w:t>
      </w:r>
      <w:r>
        <w:t xml:space="preserve"> </w:t>
      </w:r>
      <w:hyperlink r:id="rId25">
        <w:r>
          <w:rPr>
            <w:rStyle w:val="Hyperlink"/>
          </w:rPr>
          <w:t xml:space="preserve">[36]</w:t>
        </w:r>
      </w:hyperlink>
    </w:p>
    <w:bookmarkEnd w:id="45"/>
    <w:bookmarkStart w:id="46" w:name="suggested-mermaid-diagrams"/>
    <w:p>
      <w:pPr>
        <w:pStyle w:val="Heading3"/>
      </w:pPr>
      <w:r>
        <w:t xml:space="preserve">Suggested Mermaid diagrams</w:t>
      </w:r>
    </w:p>
    <w:p>
      <w:pPr>
        <w:pStyle w:val="FirstParagraph"/>
      </w:pPr>
      <w:r>
        <w:t xml:space="preserve">A concise publication timeline could be rendered as follows:</w:t>
      </w:r>
    </w:p>
    <w:p>
      <w:pPr>
        <w:pStyle w:val="SourceCode"/>
      </w:pPr>
      <w:r>
        <w:rPr>
          <w:rStyle w:val="VerbatimChar"/>
        </w:rPr>
        <w:t xml:space="preserve">timeline</w:t>
      </w:r>
      <w:r>
        <w:br/>
      </w:r>
      <w:r>
        <w:rPr>
          <w:rStyle w:val="VerbatimChar"/>
        </w:rPr>
        <w:t xml:space="preserve">    title Skopje Reconstruction Timeline</w:t>
      </w:r>
      <w:r>
        <w:br/>
      </w:r>
      <w:r>
        <w:rPr>
          <w:rStyle w:val="VerbatimChar"/>
        </w:rPr>
        <w:t xml:space="preserve">    1963-07-26 : Earthquake strikes Skopje</w:t>
      </w:r>
      <w:r>
        <w:br/>
      </w:r>
      <w:r>
        <w:rPr>
          <w:rStyle w:val="VerbatimChar"/>
        </w:rPr>
        <w:t xml:space="preserve">    1963-07-29 : ECOSOC Resolution 970 calls for aid</w:t>
      </w:r>
      <w:r>
        <w:br/>
      </w:r>
      <w:r>
        <w:rPr>
          <w:rStyle w:val="VerbatimChar"/>
        </w:rPr>
        <w:t xml:space="preserve">    1963-10-14 : UNGA Resolution 1882 endorses reconstruction framework</w:t>
      </w:r>
      <w:r>
        <w:br/>
      </w:r>
      <w:r>
        <w:rPr>
          <w:rStyle w:val="VerbatimChar"/>
        </w:rPr>
        <w:t xml:space="preserve">    1963-1964 : Emergency prefabricated housing settlements built</w:t>
      </w:r>
      <w:r>
        <w:br/>
      </w:r>
      <w:r>
        <w:rPr>
          <w:rStyle w:val="VerbatimChar"/>
        </w:rPr>
        <w:t xml:space="preserve">    1965 : Invited city-center competition held</w:t>
      </w:r>
      <w:r>
        <w:br/>
      </w:r>
      <w:r>
        <w:rPr>
          <w:rStyle w:val="VerbatimChar"/>
        </w:rPr>
        <w:t xml:space="preserve">    1965 : Tange receives 60 percent of first prize; Miščević/Wenzler receive 40 percent</w:t>
      </w:r>
      <w:r>
        <w:br/>
      </w:r>
      <w:r>
        <w:rPr>
          <w:rStyle w:val="VerbatimChar"/>
        </w:rPr>
        <w:t xml:space="preserve">    1965-10-20 : Public exhibition of planning work in Skopje</w:t>
      </w:r>
      <w:r>
        <w:br/>
      </w:r>
      <w:r>
        <w:rPr>
          <w:rStyle w:val="VerbatimChar"/>
        </w:rPr>
        <w:t xml:space="preserve">    1966 : Report on City Centre Planning issued</w:t>
      </w:r>
      <w:r>
        <w:br/>
      </w:r>
      <w:r>
        <w:rPr>
          <w:rStyle w:val="VerbatimChar"/>
        </w:rPr>
        <w:t xml:space="preserve">    1981-07-27 : New Skopje railway junction and passenger station opens</w:t>
      </w:r>
      <w:r>
        <w:br/>
      </w:r>
      <w:r>
        <w:rPr>
          <w:rStyle w:val="VerbatimChar"/>
        </w:rPr>
        <w:t xml:space="preserve">    2010s : Skopje 2014 reshapes central public space and heritage context</w:t>
      </w:r>
    </w:p>
    <w:p>
      <w:pPr>
        <w:pStyle w:val="FirstParagraph"/>
      </w:pPr>
      <w:r>
        <w:t xml:space="preserve">This sequence synthesizes UN Yearbook evidence, the MoCA account of post-earthquake housing, later scholarship on the exhibition date, bibliographic traces of Tange’s 1966 report, the official Macedonian Railways history, and later studies of Skopje 2014.</w:t>
      </w:r>
      <w:r>
        <w:t xml:space="preserve"> </w:t>
      </w:r>
      <w:hyperlink r:id="rId32">
        <w:r>
          <w:rPr>
            <w:rStyle w:val="Hyperlink"/>
          </w:rPr>
          <w:t xml:space="preserve">[37]</w:t>
        </w:r>
      </w:hyperlink>
    </w:p>
    <w:p>
      <w:pPr>
        <w:pStyle w:val="BodyText"/>
      </w:pPr>
      <w:r>
        <w:t xml:space="preserve">A plan-to-section relation for the Tange scheme could be rendered like this:</w:t>
      </w:r>
    </w:p>
    <w:p>
      <w:pPr>
        <w:pStyle w:val="SourceCode"/>
      </w:pPr>
      <w:r>
        <w:rPr>
          <w:rStyle w:val="VerbatimChar"/>
        </w:rPr>
        <w:t xml:space="preserve">flowchart TB</w:t>
      </w:r>
      <w:r>
        <w:br/>
      </w:r>
      <w:r>
        <w:rPr>
          <w:rStyle w:val="VerbatimChar"/>
        </w:rPr>
        <w:t xml:space="preserve">    RH[Regional highways] --&gt; CG[City Gate]</w:t>
      </w:r>
      <w:r>
        <w:br/>
      </w:r>
      <w:r>
        <w:rPr>
          <w:rStyle w:val="VerbatimChar"/>
        </w:rPr>
        <w:t xml:space="preserve">    RAIL[Rail lines] --&gt; CG</w:t>
      </w:r>
      <w:r>
        <w:br/>
      </w:r>
      <w:r>
        <w:rPr>
          <w:rStyle w:val="VerbatimChar"/>
        </w:rPr>
        <w:t xml:space="preserve">    BUS[Bus terminals] --&gt; CG</w:t>
      </w:r>
      <w:r>
        <w:br/>
      </w:r>
      <w:r>
        <w:rPr>
          <w:rStyle w:val="VerbatimChar"/>
        </w:rPr>
        <w:t xml:space="preserve">    CG --&gt; NA[New Axis]</w:t>
      </w:r>
      <w:r>
        <w:br/>
      </w:r>
      <w:r>
        <w:rPr>
          <w:rStyle w:val="VerbatimChar"/>
        </w:rPr>
        <w:t xml:space="preserve">    OA[Old Axis] --&gt; SQ[Main civic square]</w:t>
      </w:r>
      <w:r>
        <w:br/>
      </w:r>
      <w:r>
        <w:rPr>
          <w:rStyle w:val="VerbatimChar"/>
        </w:rPr>
        <w:t xml:space="preserve">    NA --&gt; SQ</w:t>
      </w:r>
      <w:r>
        <w:br/>
      </w:r>
      <w:r>
        <w:rPr>
          <w:rStyle w:val="VerbatimChar"/>
        </w:rPr>
        <w:t xml:space="preserve">    CW[City Wall] --- CBD[Central business district]</w:t>
      </w:r>
      <w:r>
        <w:br/>
      </w:r>
      <w:r>
        <w:rPr>
          <w:rStyle w:val="VerbatimChar"/>
        </w:rPr>
        <w:t xml:space="preserve">    CW --- H[Housing and neighborhood facilities]</w:t>
      </w:r>
      <w:r>
        <w:br/>
      </w:r>
      <w:r>
        <w:rPr>
          <w:rStyle w:val="VerbatimChar"/>
        </w:rPr>
        <w:t xml:space="preserve">    VR[Vardar River] --- CS[Civic spine, parks, and open space]</w:t>
      </w:r>
      <w:r>
        <w:br/>
      </w:r>
      <w:r>
        <w:br/>
      </w:r>
      <w:r>
        <w:rPr>
          <w:rStyle w:val="VerbatimChar"/>
        </w:rPr>
        <w:t xml:space="preserve">    subgraph Section through City Gate</w:t>
      </w:r>
      <w:r>
        <w:br/>
      </w:r>
      <w:r>
        <w:rPr>
          <w:rStyle w:val="VerbatimChar"/>
        </w:rPr>
        <w:t xml:space="preserve">        U[Underground rail]</w:t>
      </w:r>
      <w:r>
        <w:br/>
      </w:r>
      <w:r>
        <w:rPr>
          <w:rStyle w:val="VerbatimChar"/>
        </w:rPr>
        <w:t xml:space="preserve">        T[Transit and parking levels]</w:t>
      </w:r>
      <w:r>
        <w:br/>
      </w:r>
      <w:r>
        <w:rPr>
          <w:rStyle w:val="VerbatimChar"/>
        </w:rPr>
        <w:t xml:space="preserve">        P[Pedestrian deck]</w:t>
      </w:r>
      <w:r>
        <w:br/>
      </w:r>
      <w:r>
        <w:rPr>
          <w:rStyle w:val="VerbatimChar"/>
        </w:rPr>
        <w:t xml:space="preserve">        M[Mixed-use slabs and towers]</w:t>
      </w:r>
      <w:r>
        <w:br/>
      </w:r>
      <w:r>
        <w:rPr>
          <w:rStyle w:val="VerbatimChar"/>
        </w:rPr>
        <w:t xml:space="preserve">        U --&gt; T --&gt; P --&gt; M</w:t>
      </w:r>
      <w:r>
        <w:br/>
      </w:r>
      <w:r>
        <w:rPr>
          <w:rStyle w:val="VerbatimChar"/>
        </w:rPr>
        <w:t xml:space="preserve">    end</w:t>
      </w:r>
    </w:p>
    <w:p>
      <w:pPr>
        <w:pStyle w:val="FirstParagraph"/>
      </w:pPr>
      <w:r>
        <w:t xml:space="preserve">This diagram is a useful editorial device because Skopje is best understood sectionally: not simply as a plan of zones, but as a stacked arrangement of mobility, commerce, civic space, and housing.</w:t>
      </w:r>
      <w:r>
        <w:t xml:space="preserve"> </w:t>
      </w:r>
      <w:hyperlink r:id="rId28">
        <w:r>
          <w:rPr>
            <w:rStyle w:val="Hyperlink"/>
          </w:rPr>
          <w:t xml:space="preserve">[38]</w:t>
        </w:r>
      </w:hyperlink>
    </w:p>
    <w:bookmarkEnd w:id="46"/>
    <w:bookmarkEnd w:id="47"/>
    <w:bookmarkStart w:id="49" w:name="open-questions-and-archival-limits"/>
    <w:p>
      <w:pPr>
        <w:pStyle w:val="Heading2"/>
      </w:pPr>
      <w:r>
        <w:t xml:space="preserve">Open questions and archival limits</w:t>
      </w:r>
    </w:p>
    <w:p>
      <w:pPr>
        <w:pStyle w:val="FirstParagraph"/>
      </w:pPr>
      <w:r>
        <w:t xml:space="preserve">Some archival gaps remain important. The 1966</w:t>
      </w:r>
      <w:r>
        <w:t xml:space="preserve"> </w:t>
      </w:r>
      <w:r>
        <w:rPr>
          <w:b/>
          <w:bCs/>
          <w:i/>
          <w:iCs/>
        </w:rPr>
        <w:t xml:space="preserve">Skopje Urban Plan, S.F.R. Yugoslavia: Report on City Centre Planning</w:t>
      </w:r>
      <w:r>
        <w:t xml:space="preserve"> </w:t>
      </w:r>
      <w:r>
        <w:t xml:space="preserve">is bibliographically traceable through Google Books and Open Library, but a complete openly accessible official scan was not available in the sources reviewed here. Likewise, the UNDP volume</w:t>
      </w:r>
      <w:r>
        <w:t xml:space="preserve"> </w:t>
      </w:r>
      <w:r>
        <w:rPr>
          <w:b/>
          <w:bCs/>
          <w:i/>
          <w:iCs/>
        </w:rPr>
        <w:t xml:space="preserve">Skopje Resurgent</w:t>
      </w:r>
      <w:r>
        <w:t xml:space="preserve"> </w:t>
      </w:r>
      <w:r>
        <w:t xml:space="preserve">is well documented bibliographically and repeatedly cited by later scholars and museum projects, but not easily retrievable from current official UN channels through the materials surfaced here. This affects the precision with which one can reconstruct every competition drawing, every phase revision, and the full jury discourse without consulting physical copies or subscription databases.</w:t>
      </w:r>
      <w:r>
        <w:t xml:space="preserve"> </w:t>
      </w:r>
      <w:hyperlink r:id="rId48">
        <w:r>
          <w:rPr>
            <w:rStyle w:val="Hyperlink"/>
          </w:rPr>
          <w:t xml:space="preserve">[39]</w:t>
        </w:r>
      </w:hyperlink>
    </w:p>
    <w:p>
      <w:pPr>
        <w:pStyle w:val="BodyText"/>
      </w:pPr>
      <w:r>
        <w:t xml:space="preserve">A second limitation concerns the</w:t>
      </w:r>
      <w:r>
        <w:t xml:space="preserve"> </w:t>
      </w:r>
      <w:r>
        <w:rPr>
          <w:b/>
          <w:bCs/>
        </w:rPr>
        <w:t xml:space="preserve">non-winning competition entries</w:t>
      </w:r>
      <w:r>
        <w:t xml:space="preserve">. Their existence, authorship, and broad conceptual tendencies are well attested, but their detailed plans, sections, material specifications, and visual documentation are not comparably digitized in the accessible sources reviewed. The imbalance has historiographic consequences: Tange appears even more dominant because his drawings, models, and later commentaries are more visible than those of his competitors. Any future essay version prepared from on-site or library research should therefore consult the full 1965 competition documentation, the Frances Loeb Library holdings referenced by Harvard, and the Skopje archives mobilized in recent MoCA exhibitions.</w:t>
      </w:r>
      <w:r>
        <w:t xml:space="preserve"> </w:t>
      </w:r>
      <w:hyperlink r:id="rId22">
        <w:r>
          <w:rPr>
            <w:rStyle w:val="Hyperlink"/>
          </w:rPr>
          <w:t xml:space="preserve">[40]</w:t>
        </w:r>
      </w:hyperlink>
    </w:p>
    <w:p>
      <w:pPr>
        <w:pStyle w:val="BodyText"/>
      </w:pPr>
      <w:r>
        <w:t xml:space="preserve">The larger conclusion, however, remains secure. Skopje was not a failed utopia. It was a partially realized, heavily translated urban project whose historical significance lies precisely in that incompletion. Tange’s plan shows how Metabolist urban thought could operate not only as speculative imagery, but as a reconstruction technique—one capable of producing durable urban form even after its most radical formal promises had been cut back. That tension between visionary section and compromised execution is what still makes Skopje indispensable to design culture now.</w:t>
      </w:r>
      <w:r>
        <w:t xml:space="preserve"> </w:t>
      </w:r>
      <w:hyperlink r:id="rId22">
        <w:r>
          <w:rPr>
            <w:rStyle w:val="Hyperlink"/>
          </w:rPr>
          <w:t xml:space="preserve">[41]</w:t>
        </w:r>
      </w:hyperlink>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r>
        <w:t xml:space="preserve">https://www.pritzkerprize.com/biography-kenzo-tange</w:t>
      </w:r>
    </w:p>
    <w:p>
      <w:pPr>
        <w:pStyle w:val="BodyText"/>
      </w:pPr>
      <w:hyperlink r:id="rId21">
        <w:r>
          <w:rPr>
            <w:rStyle w:val="Hyperlink"/>
          </w:rPr>
          <w:t xml:space="preserve">https://www.pritzkerprize.com/biography-kenzo-tange</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[15]</w:t>
        </w:r>
      </w:hyperlink>
      <w:r>
        <w:t xml:space="preserve"> </w:t>
      </w:r>
      <w:hyperlink r:id="rId22">
        <w:r>
          <w:rPr>
            <w:rStyle w:val="Hyperlink"/>
          </w:rPr>
          <w:t xml:space="preserve">[17]</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[23]</w:t>
        </w:r>
      </w:hyperlink>
      <w:r>
        <w:t xml:space="preserve"> </w:t>
      </w:r>
      <w:hyperlink r:id="rId22">
        <w:r>
          <w:rPr>
            <w:rStyle w:val="Hyperlink"/>
          </w:rPr>
          <w:t xml:space="preserve">[25]</w:t>
        </w:r>
      </w:hyperlink>
      <w:r>
        <w:t xml:space="preserve"> </w:t>
      </w:r>
      <w:hyperlink r:id="rId22">
        <w:r>
          <w:rPr>
            <w:rStyle w:val="Hyperlink"/>
          </w:rPr>
          <w:t xml:space="preserve">[27]</w:t>
        </w:r>
      </w:hyperlink>
      <w:r>
        <w:t xml:space="preserve"> </w:t>
      </w:r>
      <w:hyperlink r:id="rId22">
        <w:r>
          <w:rPr>
            <w:rStyle w:val="Hyperlink"/>
          </w:rPr>
          <w:t xml:space="preserve">[28]</w:t>
        </w:r>
      </w:hyperlink>
      <w:r>
        <w:t xml:space="preserve"> </w:t>
      </w:r>
      <w:hyperlink r:id="rId22">
        <w:r>
          <w:rPr>
            <w:rStyle w:val="Hyperlink"/>
          </w:rPr>
          <w:t xml:space="preserve">[29]</w:t>
        </w:r>
      </w:hyperlink>
      <w:r>
        <w:t xml:space="preserve"> </w:t>
      </w:r>
      <w:hyperlink r:id="rId22">
        <w:r>
          <w:rPr>
            <w:rStyle w:val="Hyperlink"/>
          </w:rPr>
          <w:t xml:space="preserve">[40]</w:t>
        </w:r>
      </w:hyperlink>
      <w:r>
        <w:t xml:space="preserve"> </w:t>
      </w:r>
      <w:hyperlink r:id="rId22">
        <w:r>
          <w:rPr>
            <w:rStyle w:val="Hyperlink"/>
          </w:rPr>
          <w:t xml:space="preserve">[41]</w:t>
        </w:r>
      </w:hyperlink>
      <w:r>
        <w:t xml:space="preserve"> </w:t>
      </w:r>
      <w:r>
        <w:t xml:space="preserve">https://docomomojournal.com/index.php/journal/article/download/519/467</w:t>
      </w:r>
    </w:p>
    <w:p>
      <w:pPr>
        <w:pStyle w:val="BodyText"/>
      </w:pPr>
      <w:hyperlink r:id="rId22">
        <w:r>
          <w:rPr>
            <w:rStyle w:val="Hyperlink"/>
          </w:rPr>
          <w:t xml:space="preserve">https://docomomojournal.com/index.php/journal/article/download/519/467</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[9]</w:t>
        </w:r>
      </w:hyperlink>
      <w:r>
        <w:t xml:space="preserve"> </w:t>
      </w:r>
      <w:r>
        <w:t xml:space="preserve">https://www.tangeweb.com/about/kenzo/</w:t>
      </w:r>
    </w:p>
    <w:p>
      <w:pPr>
        <w:pStyle w:val="BodyText"/>
      </w:pPr>
      <w:hyperlink r:id="rId24">
        <w:r>
          <w:rPr>
            <w:rStyle w:val="Hyperlink"/>
          </w:rPr>
          <w:t xml:space="preserve">https://www.tangeweb.com/about/kenzo/</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hyperlink r:id="rId25">
        <w:r>
          <w:rPr>
            <w:rStyle w:val="Hyperlink"/>
          </w:rPr>
          <w:t xml:space="preserve">[30]</w:t>
        </w:r>
      </w:hyperlink>
      <w:r>
        <w:t xml:space="preserve"> </w:t>
      </w:r>
      <w:hyperlink r:id="rId25">
        <w:r>
          <w:rPr>
            <w:rStyle w:val="Hyperlink"/>
          </w:rPr>
          <w:t xml:space="preserve">[36]</w:t>
        </w:r>
      </w:hyperlink>
      <w:r>
        <w:t xml:space="preserve"> </w:t>
      </w:r>
      <w:r>
        <w:t xml:space="preserve">https://udcsa.gsd.harvard.edu/projects/64</w:t>
      </w:r>
    </w:p>
    <w:p>
      <w:pPr>
        <w:pStyle w:val="BodyText"/>
      </w:pPr>
      <w:hyperlink r:id="rId25">
        <w:r>
          <w:rPr>
            <w:rStyle w:val="Hyperlink"/>
          </w:rPr>
          <w:t xml:space="preserve">https://udcsa.gsd.harvard.edu/projects/64</w:t>
        </w:r>
      </w:hyperlink>
    </w:p>
    <w:p>
      <w:pPr>
        <w:pStyle w:val="BodyText"/>
      </w:pPr>
      <w:hyperlink r:id="rId27">
        <w:r>
          <w:rPr>
            <w:rStyle w:val="Hyperlink"/>
          </w:rPr>
          <w:t xml:space="preserve">[8]</w:t>
        </w:r>
      </w:hyperlink>
      <w:r>
        <w:t xml:space="preserve"> </w:t>
      </w:r>
      <w:r>
        <w:t xml:space="preserve">https://www.moma.org/collection/terms/metabolist-architecture</w:t>
      </w:r>
    </w:p>
    <w:p>
      <w:pPr>
        <w:pStyle w:val="BodyText"/>
      </w:pPr>
      <w:hyperlink r:id="rId27">
        <w:r>
          <w:rPr>
            <w:rStyle w:val="Hyperlink"/>
          </w:rPr>
          <w:t xml:space="preserve">https://www.moma.org/collection/terms/metabolist-architecture</w:t>
        </w:r>
      </w:hyperlink>
    </w:p>
    <w:p>
      <w:pPr>
        <w:pStyle w:val="BodyText"/>
      </w:pPr>
      <w:hyperlink r:id="rId28">
        <w:r>
          <w:rPr>
            <w:rStyle w:val="Hyperlink"/>
          </w:rPr>
          <w:t xml:space="preserve">[11]</w:t>
        </w:r>
      </w:hyperlink>
      <w:r>
        <w:t xml:space="preserve"> </w:t>
      </w:r>
      <w:hyperlink r:id="rId28">
        <w:r>
          <w:rPr>
            <w:rStyle w:val="Hyperlink"/>
          </w:rPr>
          <w:t xml:space="preserve">[18]</w:t>
        </w:r>
      </w:hyperlink>
      <w:r>
        <w:t xml:space="preserve"> </w:t>
      </w:r>
      <w:hyperlink r:id="rId28">
        <w:r>
          <w:rPr>
            <w:rStyle w:val="Hyperlink"/>
          </w:rPr>
          <w:t xml:space="preserve">[21]</w:t>
        </w:r>
      </w:hyperlink>
      <w:r>
        <w:t xml:space="preserve"> </w:t>
      </w:r>
      <w:hyperlink r:id="rId28">
        <w:r>
          <w:rPr>
            <w:rStyle w:val="Hyperlink"/>
          </w:rPr>
          <w:t xml:space="preserve">[38]</w:t>
        </w:r>
      </w:hyperlink>
      <w:r>
        <w:t xml:space="preserve"> </w:t>
      </w:r>
      <w:r>
        <w:t xml:space="preserve">https://udcsa.gsd.harvard.edu/projects/65</w:t>
      </w:r>
    </w:p>
    <w:p>
      <w:pPr>
        <w:pStyle w:val="BodyText"/>
      </w:pPr>
      <w:hyperlink r:id="rId28">
        <w:r>
          <w:rPr>
            <w:rStyle w:val="Hyperlink"/>
          </w:rPr>
          <w:t xml:space="preserve">https://udcsa.gsd.harvard.edu/projects/65</w:t>
        </w:r>
      </w:hyperlink>
    </w:p>
    <w:p>
      <w:pPr>
        <w:pStyle w:val="BodyText"/>
      </w:pPr>
      <w:hyperlink r:id="rId30">
        <w:r>
          <w:rPr>
            <w:rStyle w:val="Hyperlink"/>
          </w:rPr>
          <w:t xml:space="preserve">[12]</w:t>
        </w:r>
      </w:hyperlink>
      <w:r>
        <w:t xml:space="preserve"> </w:t>
      </w:r>
      <w:r>
        <w:t xml:space="preserve">https://earthquake.usgs.gov/earthquakes/eventpage/iscgem872813</w:t>
      </w:r>
    </w:p>
    <w:p>
      <w:pPr>
        <w:pStyle w:val="BodyText"/>
      </w:pPr>
      <w:hyperlink r:id="rId30">
        <w:r>
          <w:rPr>
            <w:rStyle w:val="Hyperlink"/>
          </w:rPr>
          <w:t xml:space="preserve">https://earthquake.usgs.gov/earthquakes/eventpage/iscgem872813</w:t>
        </w:r>
      </w:hyperlink>
    </w:p>
    <w:p>
      <w:pPr>
        <w:pStyle w:val="BodyText"/>
      </w:pPr>
      <w:hyperlink r:id="rId31">
        <w:r>
          <w:rPr>
            <w:rStyle w:val="Hyperlink"/>
          </w:rPr>
          <w:t xml:space="preserve">[13]</w:t>
        </w:r>
      </w:hyperlink>
      <w:r>
        <w:t xml:space="preserve"> </w:t>
      </w:r>
      <w:r>
        <w:t xml:space="preserve">https://msu.mk/exhibition/pre-fabric-growing-houses-of-skopje/</w:t>
      </w:r>
    </w:p>
    <w:p>
      <w:pPr>
        <w:pStyle w:val="BodyText"/>
      </w:pPr>
      <w:hyperlink r:id="rId31">
        <w:r>
          <w:rPr>
            <w:rStyle w:val="Hyperlink"/>
          </w:rPr>
          <w:t xml:space="preserve">https://msu.mk/exhibition/pre-fabric-growing-houses-of-skopje/</w:t>
        </w:r>
      </w:hyperlink>
    </w:p>
    <w:p>
      <w:pPr>
        <w:pStyle w:val="BodyText"/>
      </w:pPr>
      <w:hyperlink r:id="rId32">
        <w:r>
          <w:rPr>
            <w:rStyle w:val="Hyperlink"/>
          </w:rPr>
          <w:t xml:space="preserve">[14]</w:t>
        </w:r>
      </w:hyperlink>
      <w:r>
        <w:t xml:space="preserve"> </w:t>
      </w:r>
      <w:hyperlink r:id="rId32">
        <w:r>
          <w:rPr>
            <w:rStyle w:val="Hyperlink"/>
          </w:rPr>
          <w:t xml:space="preserve">[37]</w:t>
        </w:r>
      </w:hyperlink>
      <w:r>
        <w:t xml:space="preserve"> </w:t>
      </w:r>
      <w:r>
        <w:t xml:space="preserve">https://cdn.un.org/unyearbook/yun/pdf/1963/1963_423.pdf</w:t>
      </w:r>
    </w:p>
    <w:p>
      <w:pPr>
        <w:pStyle w:val="BodyText"/>
      </w:pPr>
      <w:hyperlink r:id="rId32">
        <w:r>
          <w:rPr>
            <w:rStyle w:val="Hyperlink"/>
          </w:rPr>
          <w:t xml:space="preserve">https://cdn.un.org/unyearbook/yun/pdf/1963/1963_423.pdf</w:t>
        </w:r>
      </w:hyperlink>
    </w:p>
    <w:p>
      <w:pPr>
        <w:pStyle w:val="BodyText"/>
      </w:pPr>
      <w:hyperlink r:id="rId33">
        <w:r>
          <w:rPr>
            <w:rStyle w:val="Hyperlink"/>
          </w:rPr>
          <w:t xml:space="preserve">[16]</w:t>
        </w:r>
      </w:hyperlink>
      <w:r>
        <w:t xml:space="preserve"> </w:t>
      </w:r>
      <w:r>
        <w:t xml:space="preserve">https://dro.deakin.edu.au/articles/journal_contribution/Kenzo_Tange_s_forgotten_master_plan_for_the_reconstruction_of_Skopje/20970733</w:t>
      </w:r>
    </w:p>
    <w:p>
      <w:pPr>
        <w:pStyle w:val="BodyText"/>
      </w:pPr>
      <w:hyperlink r:id="rId33">
        <w:r>
          <w:rPr>
            <w:rStyle w:val="Hyperlink"/>
          </w:rPr>
          <w:t xml:space="preserve">https://dro.deakin.edu.au/articles/journal_contribution/Kenzo_Tange_s_forgotten_master_plan_for_the_reconstruction_of_Skopje/20970733</w:t>
        </w:r>
      </w:hyperlink>
    </w:p>
    <w:p>
      <w:pPr>
        <w:pStyle w:val="BodyText"/>
      </w:pPr>
      <w:hyperlink r:id="rId35">
        <w:r>
          <w:rPr>
            <w:rStyle w:val="Hyperlink"/>
          </w:rPr>
          <w:t xml:space="preserve">[22]</w:t>
        </w:r>
      </w:hyperlink>
      <w:r>
        <w:t xml:space="preserve"> </w:t>
      </w:r>
      <w:r>
        <w:t xml:space="preserve">https://www.tangeweb.com/tange_wp_manage/wp-content/uploads/1965/01/0033_01.jpg</w:t>
      </w:r>
    </w:p>
    <w:p>
      <w:pPr>
        <w:pStyle w:val="BodyText"/>
      </w:pPr>
      <w:hyperlink r:id="rId35">
        <w:r>
          <w:rPr>
            <w:rStyle w:val="Hyperlink"/>
          </w:rPr>
          <w:t xml:space="preserve">https://www.tangeweb.com/tange_wp_manage/wp-content/uploads/1965/01/0033_01.jpg</w:t>
        </w:r>
      </w:hyperlink>
    </w:p>
    <w:p>
      <w:pPr>
        <w:pStyle w:val="BodyText"/>
      </w:pPr>
      <w:hyperlink r:id="rId37">
        <w:r>
          <w:rPr>
            <w:rStyle w:val="Hyperlink"/>
          </w:rPr>
          <w:t xml:space="preserve">[24]</w:t>
        </w:r>
      </w:hyperlink>
      <w:r>
        <w:t xml:space="preserve"> </w:t>
      </w:r>
      <w:r>
        <w:t xml:space="preserve">https://repository.ukim.mk/bitstream/20.500.12188/27366/1/Public%20space%20transformation%20in%20the%20case%20of%20Skopje%202014.pdf</w:t>
      </w:r>
    </w:p>
    <w:p>
      <w:pPr>
        <w:pStyle w:val="BodyText"/>
      </w:pPr>
      <w:hyperlink r:id="rId37">
        <w:r>
          <w:rPr>
            <w:rStyle w:val="Hyperlink"/>
          </w:rPr>
          <w:t xml:space="preserve">https://repository.ukim.mk/bitstream/20.500.12188/27366/1/Public%20space%20transformation%20in%20the%20case%20of%20Skopje%202014.pdf</w:t>
        </w:r>
      </w:hyperlink>
    </w:p>
    <w:p>
      <w:pPr>
        <w:pStyle w:val="BodyText"/>
      </w:pPr>
      <w:hyperlink r:id="rId39">
        <w:r>
          <w:rPr>
            <w:rStyle w:val="Hyperlink"/>
          </w:rPr>
          <w:t xml:space="preserve">[26]</w:t>
        </w:r>
      </w:hyperlink>
      <w:r>
        <w:t xml:space="preserve"> </w:t>
      </w:r>
      <w:hyperlink r:id="rId39">
        <w:r>
          <w:rPr>
            <w:rStyle w:val="Hyperlink"/>
          </w:rPr>
          <w:t xml:space="preserve">[31]</w:t>
        </w:r>
      </w:hyperlink>
      <w:r>
        <w:t xml:space="preserve"> </w:t>
      </w:r>
      <w:r>
        <w:t xml:space="preserve">https://www.tangeweb.com/works/works_no-33/</w:t>
      </w:r>
    </w:p>
    <w:p>
      <w:pPr>
        <w:pStyle w:val="BodyText"/>
      </w:pPr>
      <w:hyperlink r:id="rId39">
        <w:r>
          <w:rPr>
            <w:rStyle w:val="Hyperlink"/>
          </w:rPr>
          <w:t xml:space="preserve">https://www.tangeweb.com/works/works_no-33/</w:t>
        </w:r>
      </w:hyperlink>
    </w:p>
    <w:p>
      <w:pPr>
        <w:pStyle w:val="BodyText"/>
      </w:pPr>
      <w:hyperlink r:id="rId41">
        <w:r>
          <w:rPr>
            <w:rStyle w:val="Hyperlink"/>
          </w:rPr>
          <w:t xml:space="preserve">[32]</w:t>
        </w:r>
      </w:hyperlink>
      <w:r>
        <w:t xml:space="preserve"> </w:t>
      </w:r>
      <w:r>
        <w:t xml:space="preserve">https://www.tangeweb.com/works/works_no-29/</w:t>
      </w:r>
    </w:p>
    <w:p>
      <w:pPr>
        <w:pStyle w:val="BodyText"/>
      </w:pPr>
      <w:hyperlink r:id="rId41">
        <w:r>
          <w:rPr>
            <w:rStyle w:val="Hyperlink"/>
          </w:rPr>
          <w:t xml:space="preserve">https://www.tangeweb.com/works/works_no-29/</w:t>
        </w:r>
      </w:hyperlink>
    </w:p>
    <w:p>
      <w:pPr>
        <w:pStyle w:val="BodyText"/>
      </w:pPr>
      <w:hyperlink r:id="rId42">
        <w:r>
          <w:rPr>
            <w:rStyle w:val="Hyperlink"/>
          </w:rPr>
          <w:t xml:space="preserve">[33]</w:t>
        </w:r>
      </w:hyperlink>
      <w:r>
        <w:t xml:space="preserve"> </w:t>
      </w:r>
      <w:r>
        <w:t xml:space="preserve">https://www.moma.org/collection/works/621</w:t>
      </w:r>
    </w:p>
    <w:p>
      <w:pPr>
        <w:pStyle w:val="BodyText"/>
      </w:pPr>
      <w:hyperlink r:id="rId42">
        <w:r>
          <w:rPr>
            <w:rStyle w:val="Hyperlink"/>
          </w:rPr>
          <w:t xml:space="preserve">https://www.moma.org/collection/works/621</w:t>
        </w:r>
      </w:hyperlink>
    </w:p>
    <w:p>
      <w:pPr>
        <w:pStyle w:val="BodyText"/>
      </w:pPr>
      <w:hyperlink r:id="rId43">
        <w:r>
          <w:rPr>
            <w:rStyle w:val="Hyperlink"/>
          </w:rPr>
          <w:t xml:space="preserve">[34]</w:t>
        </w:r>
      </w:hyperlink>
      <w:r>
        <w:t xml:space="preserve"> </w:t>
      </w:r>
      <w:r>
        <w:t xml:space="preserve">https://www.moma.org/collection/works/815</w:t>
      </w:r>
    </w:p>
    <w:p>
      <w:pPr>
        <w:pStyle w:val="BodyText"/>
      </w:pPr>
      <w:hyperlink r:id="rId43">
        <w:r>
          <w:rPr>
            <w:rStyle w:val="Hyperlink"/>
          </w:rPr>
          <w:t xml:space="preserve">https://www.moma.org/collection/works/815</w:t>
        </w:r>
      </w:hyperlink>
    </w:p>
    <w:p>
      <w:pPr>
        <w:pStyle w:val="BodyText"/>
      </w:pPr>
      <w:hyperlink r:id="rId44">
        <w:r>
          <w:rPr>
            <w:rStyle w:val="Hyperlink"/>
          </w:rPr>
          <w:t xml:space="preserve">[35]</w:t>
        </w:r>
      </w:hyperlink>
      <w:r>
        <w:t xml:space="preserve"> </w:t>
      </w:r>
      <w:r>
        <w:t xml:space="preserve">https://www.moma.org/calendar/exhibitions/5830</w:t>
      </w:r>
    </w:p>
    <w:p>
      <w:pPr>
        <w:pStyle w:val="BodyText"/>
      </w:pPr>
      <w:hyperlink r:id="rId44">
        <w:r>
          <w:rPr>
            <w:rStyle w:val="Hyperlink"/>
          </w:rPr>
          <w:t xml:space="preserve">https://www.moma.org/calendar/exhibitions/5830</w:t>
        </w:r>
      </w:hyperlink>
    </w:p>
    <w:p>
      <w:pPr>
        <w:pStyle w:val="BodyText"/>
      </w:pPr>
      <w:hyperlink r:id="rId48">
        <w:r>
          <w:rPr>
            <w:rStyle w:val="Hyperlink"/>
          </w:rPr>
          <w:t xml:space="preserve">[39]</w:t>
        </w:r>
      </w:hyperlink>
      <w:r>
        <w:t xml:space="preserve"> </w:t>
      </w:r>
      <w:r>
        <w:t xml:space="preserve">https://books.google.com/books/about/Skopje_Urban_Plan_S_F_R_Yugoslavia.html?id=J12CNQAACAAJ</w:t>
      </w:r>
    </w:p>
    <w:p>
      <w:pPr>
        <w:pStyle w:val="BodyText"/>
      </w:pPr>
      <w:hyperlink r:id="rId48">
        <w:r>
          <w:rPr>
            <w:rStyle w:val="Hyperlink"/>
          </w:rPr>
          <w:t xml:space="preserve">https://books.google.com/books/about/Skopje_Urban_Plan_S_F_R_Yugoslavia.html?id=J12CNQAACAAJ</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books.google.com/books/about/Skopje_Urban_Plan_S_F_R_Yugoslavia.html?id=J12CNQAACAAJ" TargetMode="External" /><Relationship Type="http://schemas.openxmlformats.org/officeDocument/2006/relationships/hyperlink" Id="rId32" Target="https://cdn.un.org/unyearbook/yun/pdf/1963/1963_423.pdf" TargetMode="External" /><Relationship Type="http://schemas.openxmlformats.org/officeDocument/2006/relationships/hyperlink" Id="rId22" Target="https://docomomojournal.com/index.php/journal/article/download/519/467" TargetMode="External" /><Relationship Type="http://schemas.openxmlformats.org/officeDocument/2006/relationships/hyperlink" Id="rId33" Target="https://dro.deakin.edu.au/articles/journal_contribution/Kenzo_Tange_s_forgotten_master_plan_for_the_reconstruction_of_Skopje/20970733" TargetMode="External" /><Relationship Type="http://schemas.openxmlformats.org/officeDocument/2006/relationships/hyperlink" Id="rId30" Target="https://earthquake.usgs.gov/earthquakes/eventpage/iscgem872813" TargetMode="External" /><Relationship Type="http://schemas.openxmlformats.org/officeDocument/2006/relationships/hyperlink" Id="rId31" Target="https://msu.mk/exhibition/pre-fabric-growing-houses-of-skopje/" TargetMode="External" /><Relationship Type="http://schemas.openxmlformats.org/officeDocument/2006/relationships/hyperlink" Id="rId37" Target="https://repository.ukim.mk/bitstream/20.500.12188/27366/1/Public%20space%20transformation%20in%20the%20case%20of%20Skopje%202014.pdf" TargetMode="External" /><Relationship Type="http://schemas.openxmlformats.org/officeDocument/2006/relationships/hyperlink" Id="rId25" Target="https://udcsa.gsd.harvard.edu/projects/64" TargetMode="External" /><Relationship Type="http://schemas.openxmlformats.org/officeDocument/2006/relationships/hyperlink" Id="rId28" Target="https://udcsa.gsd.harvard.edu/projects/65" TargetMode="External" /><Relationship Type="http://schemas.openxmlformats.org/officeDocument/2006/relationships/hyperlink" Id="rId44" Target="https://www.moma.org/calendar/exhibitions/5830" TargetMode="External" /><Relationship Type="http://schemas.openxmlformats.org/officeDocument/2006/relationships/hyperlink" Id="rId27" Target="https://www.moma.org/collection/terms/metabolist-architecture" TargetMode="External" /><Relationship Type="http://schemas.openxmlformats.org/officeDocument/2006/relationships/hyperlink" Id="rId42" Target="https://www.moma.org/collection/works/621" TargetMode="External" /><Relationship Type="http://schemas.openxmlformats.org/officeDocument/2006/relationships/hyperlink" Id="rId43" Target="https://www.moma.org/collection/works/815" TargetMode="External" /><Relationship Type="http://schemas.openxmlformats.org/officeDocument/2006/relationships/hyperlink" Id="rId21" Target="https://www.pritzkerprize.com/biography-kenzo-tange" TargetMode="External" /><Relationship Type="http://schemas.openxmlformats.org/officeDocument/2006/relationships/hyperlink" Id="rId24" Target="https://www.tangeweb.com/about/kenzo/" TargetMode="External" /><Relationship Type="http://schemas.openxmlformats.org/officeDocument/2006/relationships/hyperlink" Id="rId35" Target="https://www.tangeweb.com/tange_wp_manage/wp-content/uploads/1965/01/0033_01.jpg" TargetMode="External" /><Relationship Type="http://schemas.openxmlformats.org/officeDocument/2006/relationships/hyperlink" Id="rId41" Target="https://www.tangeweb.com/works/works_no-29/" TargetMode="External" /><Relationship Type="http://schemas.openxmlformats.org/officeDocument/2006/relationships/hyperlink" Id="rId39" Target="https://www.tangeweb.com/works/works_no-33/" TargetMode="External" /></Relationships>
</file>

<file path=word/_rels/footnotes.xml.rels><?xml version="1.0" encoding="UTF-8"?><Relationships xmlns="http://schemas.openxmlformats.org/package/2006/relationships"><Relationship Type="http://schemas.openxmlformats.org/officeDocument/2006/relationships/hyperlink" Id="rId48" Target="https://books.google.com/books/about/Skopje_Urban_Plan_S_F_R_Yugoslavia.html?id=J12CNQAACAAJ" TargetMode="External" /><Relationship Type="http://schemas.openxmlformats.org/officeDocument/2006/relationships/hyperlink" Id="rId32" Target="https://cdn.un.org/unyearbook/yun/pdf/1963/1963_423.pdf" TargetMode="External" /><Relationship Type="http://schemas.openxmlformats.org/officeDocument/2006/relationships/hyperlink" Id="rId22" Target="https://docomomojournal.com/index.php/journal/article/download/519/467" TargetMode="External" /><Relationship Type="http://schemas.openxmlformats.org/officeDocument/2006/relationships/hyperlink" Id="rId33" Target="https://dro.deakin.edu.au/articles/journal_contribution/Kenzo_Tange_s_forgotten_master_plan_for_the_reconstruction_of_Skopje/20970733" TargetMode="External" /><Relationship Type="http://schemas.openxmlformats.org/officeDocument/2006/relationships/hyperlink" Id="rId30" Target="https://earthquake.usgs.gov/earthquakes/eventpage/iscgem872813" TargetMode="External" /><Relationship Type="http://schemas.openxmlformats.org/officeDocument/2006/relationships/hyperlink" Id="rId31" Target="https://msu.mk/exhibition/pre-fabric-growing-houses-of-skopje/" TargetMode="External" /><Relationship Type="http://schemas.openxmlformats.org/officeDocument/2006/relationships/hyperlink" Id="rId37" Target="https://repository.ukim.mk/bitstream/20.500.12188/27366/1/Public%20space%20transformation%20in%20the%20case%20of%20Skopje%202014.pdf" TargetMode="External" /><Relationship Type="http://schemas.openxmlformats.org/officeDocument/2006/relationships/hyperlink" Id="rId25" Target="https://udcsa.gsd.harvard.edu/projects/64" TargetMode="External" /><Relationship Type="http://schemas.openxmlformats.org/officeDocument/2006/relationships/hyperlink" Id="rId28" Target="https://udcsa.gsd.harvard.edu/projects/65" TargetMode="External" /><Relationship Type="http://schemas.openxmlformats.org/officeDocument/2006/relationships/hyperlink" Id="rId44" Target="https://www.moma.org/calendar/exhibitions/5830" TargetMode="External" /><Relationship Type="http://schemas.openxmlformats.org/officeDocument/2006/relationships/hyperlink" Id="rId27" Target="https://www.moma.org/collection/terms/metabolist-architecture" TargetMode="External" /><Relationship Type="http://schemas.openxmlformats.org/officeDocument/2006/relationships/hyperlink" Id="rId42" Target="https://www.moma.org/collection/works/621" TargetMode="External" /><Relationship Type="http://schemas.openxmlformats.org/officeDocument/2006/relationships/hyperlink" Id="rId43" Target="https://www.moma.org/collection/works/815" TargetMode="External" /><Relationship Type="http://schemas.openxmlformats.org/officeDocument/2006/relationships/hyperlink" Id="rId21" Target="https://www.pritzkerprize.com/biography-kenzo-tange" TargetMode="External" /><Relationship Type="http://schemas.openxmlformats.org/officeDocument/2006/relationships/hyperlink" Id="rId24" Target="https://www.tangeweb.com/about/kenzo/" TargetMode="External" /><Relationship Type="http://schemas.openxmlformats.org/officeDocument/2006/relationships/hyperlink" Id="rId35" Target="https://www.tangeweb.com/tange_wp_manage/wp-content/uploads/1965/01/0033_01.jpg" TargetMode="External" /><Relationship Type="http://schemas.openxmlformats.org/officeDocument/2006/relationships/hyperlink" Id="rId41" Target="https://www.tangeweb.com/works/works_no-29/" TargetMode="External" /><Relationship Type="http://schemas.openxmlformats.org/officeDocument/2006/relationships/hyperlink" Id="rId39" Target="https://www.tangeweb.com/works/works_no-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2026-04-23T15:05:42Z</dcterms:created>
  <dcterms:modified xsi:type="dcterms:W3CDTF">2026-04-23T15:05:42Z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