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D1E9" w14:textId="6783DC4E" w:rsidR="00310391" w:rsidRDefault="00125B26" w:rsidP="00310391">
      <w:pPr>
        <w:pStyle w:val="NormalWeb"/>
        <w:rPr>
          <w:rStyle w:val="Strong"/>
          <w:sz w:val="36"/>
          <w:szCs w:val="36"/>
        </w:rPr>
      </w:pPr>
      <w:r w:rsidRPr="00125B26">
        <w:rPr>
          <w:sz w:val="36"/>
          <w:szCs w:val="36"/>
        </w:rPr>
        <w:t xml:space="preserve">Headline: </w:t>
      </w:r>
      <w:r w:rsidRPr="00125B26">
        <w:rPr>
          <w:sz w:val="36"/>
          <w:szCs w:val="36"/>
        </w:rPr>
        <w:t>Tokyo on the Vardar: Kenzo Tange’s</w:t>
      </w:r>
      <w:r w:rsidRPr="00125B26">
        <w:rPr>
          <w:sz w:val="36"/>
          <w:szCs w:val="36"/>
        </w:rPr>
        <w:t xml:space="preserve"> </w:t>
      </w:r>
      <w:r w:rsidR="00310391" w:rsidRPr="00125B26">
        <w:rPr>
          <w:rStyle w:val="Strong"/>
          <w:sz w:val="36"/>
          <w:szCs w:val="36"/>
        </w:rPr>
        <w:t>Reconstruction of Skopje</w:t>
      </w:r>
    </w:p>
    <w:p w14:paraId="45054DD4" w14:textId="256EC13A" w:rsidR="00125B26" w:rsidRPr="00125B26" w:rsidRDefault="00125B26" w:rsidP="00310391">
      <w:pPr>
        <w:pStyle w:val="NormalWeb"/>
        <w:rPr>
          <w:sz w:val="36"/>
          <w:szCs w:val="36"/>
        </w:rPr>
      </w:pPr>
      <w:r>
        <w:rPr>
          <w:rStyle w:val="Strong"/>
          <w:sz w:val="36"/>
          <w:szCs w:val="36"/>
        </w:rPr>
        <w:t xml:space="preserve">Words Stefan </w:t>
      </w:r>
      <w:r>
        <w:t>Horvat</w:t>
      </w:r>
    </w:p>
    <w:p w14:paraId="7521A27F" w14:textId="6CC7CF7E" w:rsidR="00310391" w:rsidRPr="00310391" w:rsidRDefault="00310391" w:rsidP="00310391">
      <w:pPr>
        <w:pStyle w:val="NormalWeb"/>
        <w:rPr>
          <w:sz w:val="32"/>
          <w:szCs w:val="32"/>
        </w:rPr>
      </w:pPr>
      <w:r w:rsidRPr="00310391">
        <w:rPr>
          <w:sz w:val="32"/>
          <w:szCs w:val="32"/>
        </w:rPr>
        <w:t xml:space="preserve">On 26 July 1963, Skopje was struck by the earthquake that changed its architectural destiny. About four-fifths of the city was left in ruins; 1,070 people were killed, and relief arrived from 78 countries. What emerged from that catastrophe was not only a reconstruction campaign, but one of the most ambitious urban experiments of the postwar period: a city remade through the combined languages of disaster engineering, international planning, and modern architecture. Skopje was suddenly not just a Macedonian city in Yugoslavia. It became a world site. </w:t>
      </w:r>
    </w:p>
    <w:p w14:paraId="2663CD96" w14:textId="43062F32" w:rsidR="00310391" w:rsidRPr="00310391" w:rsidRDefault="00310391" w:rsidP="00310391">
      <w:pPr>
        <w:pStyle w:val="NormalWeb"/>
        <w:rPr>
          <w:sz w:val="32"/>
          <w:szCs w:val="32"/>
        </w:rPr>
      </w:pPr>
      <w:r w:rsidRPr="00310391">
        <w:rPr>
          <w:sz w:val="32"/>
          <w:szCs w:val="32"/>
        </w:rPr>
        <w:t>That technical dimension matters more than it is usually given credit for. Skopje was not rebuilt as a purely symbolic tabula rasa for heroic modernism. Under Yugoslav and UNESCO auspices, the city hosted an international seminar on earthquake engineering in 1964, with seismologists, planners, and structural experts treating reconstruction as a problem of ground conditions, structural resistance, and urban safety as much as one of form. Architecture in Skopje began, quite literally, with the earth.</w:t>
      </w:r>
    </w:p>
    <w:p w14:paraId="5DD2B919" w14:textId="48C08187" w:rsidR="00310391" w:rsidRDefault="00310391" w:rsidP="00310391">
      <w:pPr>
        <w:pStyle w:val="NormalWeb"/>
        <w:rPr>
          <w:sz w:val="32"/>
          <w:szCs w:val="32"/>
        </w:rPr>
      </w:pPr>
      <w:r w:rsidRPr="00310391">
        <w:rPr>
          <w:sz w:val="32"/>
          <w:szCs w:val="32"/>
        </w:rPr>
        <w:t xml:space="preserve">It was also a geopolitical anomaly. Yugoslavia’s non-aligned position allowed Skopje’s reconstruction to become a rare Cold War contact zone in which global development agencies, foreign experts, and local institutions could collaborate without the city being neatly absorbed into either bloc. Scholarship on the project has since described it as an instance of “non-aligned internationalism,” while contemporary UN language cast rebuilt </w:t>
      </w:r>
      <w:r w:rsidR="00361C61">
        <w:rPr>
          <w:sz w:val="32"/>
          <w:szCs w:val="32"/>
        </w:rPr>
        <w:t>the Macedonian capital</w:t>
      </w:r>
      <w:r w:rsidRPr="00310391">
        <w:rPr>
          <w:sz w:val="32"/>
          <w:szCs w:val="32"/>
        </w:rPr>
        <w:t xml:space="preserve"> as a symbol of international solidarity and friendship among peoples. That context is essential, because it explains why a Japanese architect could become central to the remaking of a Macedonian capital.</w:t>
      </w:r>
    </w:p>
    <w:p w14:paraId="7813EA77" w14:textId="25179500" w:rsidR="00310391" w:rsidRPr="00310391" w:rsidRDefault="00310391" w:rsidP="00310391">
      <w:pPr>
        <w:pStyle w:val="NormalWeb"/>
        <w:rPr>
          <w:sz w:val="32"/>
          <w:szCs w:val="32"/>
        </w:rPr>
      </w:pPr>
      <w:r w:rsidRPr="00310391">
        <w:rPr>
          <w:sz w:val="32"/>
          <w:szCs w:val="32"/>
        </w:rPr>
        <w:t xml:space="preserve">Kenzo Tange entered this story already as one of the decisive architects of the twentieth century. Born in Osaka in 1913, educated at Tokyo </w:t>
      </w:r>
      <w:r w:rsidRPr="00310391">
        <w:rPr>
          <w:sz w:val="32"/>
          <w:szCs w:val="32"/>
        </w:rPr>
        <w:lastRenderedPageBreak/>
        <w:t xml:space="preserve">Imperial University, inspired early by Le Corbusier, and trained in the office of Kunio Maekawa, he came out of the major channels of modernism without ever becoming merely a Japanese translator of European doctrine. After the war he won the competition for Hiroshima Peace Memorial Park, gained international attention through CIAM, and established himself not only as an architect of buildings but as a thinker of cities. </w:t>
      </w:r>
    </w:p>
    <w:p w14:paraId="2F16D722" w14:textId="5E3A0E54" w:rsidR="00310391" w:rsidRPr="00310391" w:rsidRDefault="00310391" w:rsidP="00310391">
      <w:pPr>
        <w:pStyle w:val="NormalWeb"/>
        <w:rPr>
          <w:sz w:val="32"/>
          <w:szCs w:val="32"/>
        </w:rPr>
      </w:pPr>
      <w:r w:rsidRPr="00310391">
        <w:rPr>
          <w:sz w:val="32"/>
          <w:szCs w:val="32"/>
        </w:rPr>
        <w:t xml:space="preserve">His significance lies as much in pedagogy as </w:t>
      </w:r>
      <w:proofErr w:type="gramStart"/>
      <w:r w:rsidRPr="00310391">
        <w:rPr>
          <w:sz w:val="32"/>
          <w:szCs w:val="32"/>
        </w:rPr>
        <w:t>in built</w:t>
      </w:r>
      <w:proofErr w:type="gramEnd"/>
      <w:r w:rsidRPr="00310391">
        <w:rPr>
          <w:sz w:val="32"/>
          <w:szCs w:val="32"/>
        </w:rPr>
        <w:t xml:space="preserve"> work. From 1946 to 1974 he taught at the University of Tokyo and led the Tange Laboratory, which became a generator of postwar Japanese architecture and helped form figures such as Fumihiko Maki, Arata Isozaki, and Kisho Kurokawa. Tange was therefore not simply an individual author. By the early 1960s he was an institution, a school, and a launching point for a new urban imagination. </w:t>
      </w:r>
    </w:p>
    <w:p w14:paraId="1A480F97" w14:textId="043C3EBA" w:rsidR="00310391" w:rsidRPr="00310391" w:rsidRDefault="00310391" w:rsidP="00310391">
      <w:pPr>
        <w:pStyle w:val="NormalWeb"/>
        <w:rPr>
          <w:sz w:val="32"/>
          <w:szCs w:val="32"/>
        </w:rPr>
      </w:pPr>
      <w:r w:rsidRPr="00310391">
        <w:rPr>
          <w:sz w:val="32"/>
          <w:szCs w:val="32"/>
        </w:rPr>
        <w:t xml:space="preserve">By the time Skopje invited him into its reconstruction, Tange had already built the works that made his authority unavoidable. Hiroshima gave him a language of postwar civic symbolism. Yoyogi National Gymnasium showed that he could turn structural daring into public form. His 1959 doctoral work on the “spatial structure” of the large city, followed by </w:t>
      </w:r>
      <w:r w:rsidRPr="00310391">
        <w:rPr>
          <w:rStyle w:val="Emphasis"/>
          <w:sz w:val="32"/>
          <w:szCs w:val="32"/>
        </w:rPr>
        <w:t>Plan for Tokyo 1960</w:t>
      </w:r>
      <w:r w:rsidRPr="00310391">
        <w:rPr>
          <w:sz w:val="32"/>
          <w:szCs w:val="32"/>
        </w:rPr>
        <w:t xml:space="preserve">, pushed him beyond object-buildings toward a theory of the metropolis organized through movement, communication, and large-scale infrastructural order. The city, for Tange, was no longer something to be composed like a picture. It was something to be structured like a system. </w:t>
      </w:r>
    </w:p>
    <w:p w14:paraId="598ADE55" w14:textId="0BBC898A" w:rsidR="00310391" w:rsidRPr="00310391" w:rsidRDefault="00310391" w:rsidP="00310391">
      <w:pPr>
        <w:pStyle w:val="NormalWeb"/>
        <w:rPr>
          <w:sz w:val="32"/>
          <w:szCs w:val="32"/>
        </w:rPr>
      </w:pPr>
      <w:r w:rsidRPr="00310391">
        <w:rPr>
          <w:sz w:val="32"/>
          <w:szCs w:val="32"/>
        </w:rPr>
        <w:t xml:space="preserve">This is where Metabolism </w:t>
      </w:r>
      <w:proofErr w:type="gramStart"/>
      <w:r w:rsidRPr="00310391">
        <w:rPr>
          <w:sz w:val="32"/>
          <w:szCs w:val="32"/>
        </w:rPr>
        <w:t>has to</w:t>
      </w:r>
      <w:proofErr w:type="gramEnd"/>
      <w:r w:rsidRPr="00310391">
        <w:rPr>
          <w:sz w:val="32"/>
          <w:szCs w:val="32"/>
        </w:rPr>
        <w:t xml:space="preserve"> be understood with precision. Metabolism was not a style of futuristic concrete, nor merely a taste for megastructures. The manifesto </w:t>
      </w:r>
      <w:r w:rsidRPr="00310391">
        <w:rPr>
          <w:rStyle w:val="Emphasis"/>
          <w:sz w:val="32"/>
          <w:szCs w:val="32"/>
        </w:rPr>
        <w:t>Metabolism: The Proposals for New Urbanism</w:t>
      </w:r>
      <w:r w:rsidRPr="00310391">
        <w:rPr>
          <w:sz w:val="32"/>
          <w:szCs w:val="32"/>
        </w:rPr>
        <w:t xml:space="preserve"> was published in Tokyo in 1960 around the World Design Conference, and the movement was defined by the idea that cities should be understood according to organic, not mechanical, paradigms. Kisho Kurokawa later described it as a biological analogy meant to replace the machine analogy of orthodox modernism. For architects, that shift was </w:t>
      </w:r>
      <w:r w:rsidRPr="00310391">
        <w:rPr>
          <w:sz w:val="32"/>
          <w:szCs w:val="32"/>
        </w:rPr>
        <w:lastRenderedPageBreak/>
        <w:t>radical: the city was no longer a finished artifact but a process of growth, renewal, replacement, and adaptation over time</w:t>
      </w:r>
      <w:r w:rsidR="00ED53DF">
        <w:rPr>
          <w:sz w:val="32"/>
          <w:szCs w:val="32"/>
        </w:rPr>
        <w:t>.</w:t>
      </w:r>
    </w:p>
    <w:p w14:paraId="3F8051D9" w14:textId="07FF958F" w:rsidR="00310391" w:rsidRPr="00310391" w:rsidRDefault="00310391" w:rsidP="00310391">
      <w:pPr>
        <w:pStyle w:val="NormalWeb"/>
        <w:rPr>
          <w:sz w:val="32"/>
          <w:szCs w:val="32"/>
        </w:rPr>
      </w:pPr>
      <w:r w:rsidRPr="00310391">
        <w:rPr>
          <w:sz w:val="32"/>
          <w:szCs w:val="32"/>
        </w:rPr>
        <w:t xml:space="preserve">The deepest architectural proposition of Metabolism was the distinction between what should endure and what should change. Long-life infrastructural frames, service </w:t>
      </w:r>
      <w:proofErr w:type="spellStart"/>
      <w:r w:rsidRPr="00310391">
        <w:rPr>
          <w:sz w:val="32"/>
          <w:szCs w:val="32"/>
        </w:rPr>
        <w:t>cores</w:t>
      </w:r>
      <w:proofErr w:type="spellEnd"/>
      <w:r w:rsidRPr="00310391">
        <w:rPr>
          <w:sz w:val="32"/>
          <w:szCs w:val="32"/>
        </w:rPr>
        <w:t xml:space="preserve">, circulation trunks, and territorial armatures would provide continuity. Short-life units—housing cells, commercial modules, programmatic inserts—could be replaced as needs changed. In that sense, Metabolism was a theory of urban time disguised as a theory of form. It asked how architecture could make permanence and change coexist without collapsing either into chaos or into dead order. </w:t>
      </w:r>
    </w:p>
    <w:p w14:paraId="38D0CC0C" w14:textId="28D17B65" w:rsidR="00310391" w:rsidRPr="00310391" w:rsidRDefault="00310391" w:rsidP="00310391">
      <w:pPr>
        <w:pStyle w:val="NormalWeb"/>
        <w:rPr>
          <w:sz w:val="32"/>
          <w:szCs w:val="32"/>
        </w:rPr>
      </w:pPr>
      <w:r w:rsidRPr="00310391">
        <w:rPr>
          <w:sz w:val="32"/>
          <w:szCs w:val="32"/>
        </w:rPr>
        <w:t xml:space="preserve">Tange was older than the younger architects usually named as the core Metabolists, but he was their intellectual hinge. His laboratory produced many of them, his urban work prepared the ground for them, and his theory of communication-based infrastructure gave the movement its most convincing metropolitan scale. Skopje mattered because it offered him something Tokyo never quite did: the chance to test these ideas on a real city center rather than in a visionary proposal. </w:t>
      </w:r>
    </w:p>
    <w:p w14:paraId="3D30B683" w14:textId="32F26042" w:rsidR="00310391" w:rsidRPr="00310391" w:rsidRDefault="00310391" w:rsidP="00310391">
      <w:pPr>
        <w:pStyle w:val="NormalWeb"/>
        <w:rPr>
          <w:sz w:val="32"/>
          <w:szCs w:val="32"/>
        </w:rPr>
      </w:pPr>
      <w:r w:rsidRPr="00310391">
        <w:rPr>
          <w:sz w:val="32"/>
          <w:szCs w:val="32"/>
        </w:rPr>
        <w:t xml:space="preserve">The Town Planning Project for Skopje, financed through the UN Special Fund, led to an international competition for the new city center. Tange’s proposal won three-fifths of the first prize, and the official project record identifies the site as roughly 2.9 million square meters. That scale is important. Skopje was not a museum, stadium, or civic complex. It was one of the rare moments in which Tange could act on the </w:t>
      </w:r>
      <w:proofErr w:type="gramStart"/>
      <w:r w:rsidRPr="00310391">
        <w:rPr>
          <w:sz w:val="32"/>
          <w:szCs w:val="32"/>
        </w:rPr>
        <w:t>city as a whole, with</w:t>
      </w:r>
      <w:proofErr w:type="gramEnd"/>
      <w:r w:rsidRPr="00310391">
        <w:rPr>
          <w:sz w:val="32"/>
          <w:szCs w:val="32"/>
        </w:rPr>
        <w:t xml:space="preserve"> architecture, housing, infrastructure, and movement all folded into one urban argument. </w:t>
      </w:r>
    </w:p>
    <w:p w14:paraId="10D68461" w14:textId="61292970" w:rsidR="00310391" w:rsidRPr="00310391" w:rsidRDefault="00310391" w:rsidP="00310391">
      <w:pPr>
        <w:pStyle w:val="NormalWeb"/>
        <w:rPr>
          <w:sz w:val="32"/>
          <w:szCs w:val="32"/>
        </w:rPr>
      </w:pPr>
      <w:r w:rsidRPr="00310391">
        <w:rPr>
          <w:sz w:val="32"/>
          <w:szCs w:val="32"/>
        </w:rPr>
        <w:t xml:space="preserve">What he brought to Macedonia was not a Japanese image, but a Japanese way of thinking. Tange did not attempt to decorate Skopje with recognizable signs of “Japan.” </w:t>
      </w:r>
      <w:proofErr w:type="gramStart"/>
      <w:r w:rsidRPr="00310391">
        <w:rPr>
          <w:sz w:val="32"/>
          <w:szCs w:val="32"/>
        </w:rPr>
        <w:t>Instead</w:t>
      </w:r>
      <w:proofErr w:type="gramEnd"/>
      <w:r w:rsidRPr="00310391">
        <w:rPr>
          <w:sz w:val="32"/>
          <w:szCs w:val="32"/>
        </w:rPr>
        <w:t xml:space="preserve"> he transferred an intellectual method forged in postwar Japanese urbanism: the city as system; infrastructure as the primary architectural fact; symbolism as a necessary condition of civic legibility; and growth as something to be designed </w:t>
      </w:r>
      <w:r w:rsidRPr="00310391">
        <w:rPr>
          <w:sz w:val="32"/>
          <w:szCs w:val="32"/>
        </w:rPr>
        <w:lastRenderedPageBreak/>
        <w:t xml:space="preserve">rather than merely tolerated. His own office history notes that in the 1960s he was explicitly working through the problems of spatial configuration and symbolism, and in Skopje those concerns became urban rather than merely architectural. </w:t>
      </w:r>
    </w:p>
    <w:p w14:paraId="10A126FA" w14:textId="488DC698" w:rsidR="00310391" w:rsidRPr="00310391" w:rsidRDefault="00310391" w:rsidP="00310391">
      <w:pPr>
        <w:pStyle w:val="NormalWeb"/>
        <w:rPr>
          <w:sz w:val="32"/>
          <w:szCs w:val="32"/>
        </w:rPr>
      </w:pPr>
      <w:r w:rsidRPr="00310391">
        <w:rPr>
          <w:sz w:val="32"/>
          <w:szCs w:val="32"/>
        </w:rPr>
        <w:t xml:space="preserve">The first major element of the plan was the </w:t>
      </w:r>
      <w:r w:rsidRPr="00310391">
        <w:rPr>
          <w:rStyle w:val="Strong"/>
          <w:sz w:val="32"/>
          <w:szCs w:val="32"/>
        </w:rPr>
        <w:t>City Gate</w:t>
      </w:r>
      <w:r w:rsidRPr="00310391">
        <w:rPr>
          <w:sz w:val="32"/>
          <w:szCs w:val="32"/>
        </w:rPr>
        <w:t xml:space="preserve">. This was the transportation and communications condenser: a linear axis concentrating the functions of arrival, movement, business, and exchange, anchored by a gigantic gateway structure tied to regional traffic and directed toward Republic Square on the Vardar. The significance of the Gate was not only functional. It made infrastructure into identity. To enter the city was to pass through a machine of circulation that was also meant to be a civic sign. In Tange’s hands, the interchange became the monument. </w:t>
      </w:r>
    </w:p>
    <w:p w14:paraId="1160FEF8" w14:textId="01FF8BE0" w:rsidR="00310391" w:rsidRPr="00310391" w:rsidRDefault="00310391" w:rsidP="00310391">
      <w:pPr>
        <w:pStyle w:val="NormalWeb"/>
        <w:rPr>
          <w:sz w:val="32"/>
          <w:szCs w:val="32"/>
        </w:rPr>
      </w:pPr>
      <w:r w:rsidRPr="00310391">
        <w:rPr>
          <w:sz w:val="32"/>
          <w:szCs w:val="32"/>
        </w:rPr>
        <w:t xml:space="preserve">The second major element was the </w:t>
      </w:r>
      <w:r w:rsidRPr="00310391">
        <w:rPr>
          <w:rStyle w:val="Strong"/>
          <w:sz w:val="32"/>
          <w:szCs w:val="32"/>
        </w:rPr>
        <w:t>City Wall</w:t>
      </w:r>
      <w:r w:rsidRPr="00310391">
        <w:rPr>
          <w:sz w:val="32"/>
          <w:szCs w:val="32"/>
        </w:rPr>
        <w:t>. Here Tange did something even more interesting: he made housing into urban structure. The Wall was conceived as a residential and mixed-use band encircling the central business district, giving the center not only an edge but a permanent population. Studies of the realized complex show that it became a system of blocks and towers, completed through projects by local architects, while the wider conception treated it as an inhabited megastructure with a continuous pedestrian axis. This is one of the most original dimensions of the Skopje plan. The city would not be stabilized by isolated monuments but by a dense edge of everyday life.</w:t>
      </w:r>
    </w:p>
    <w:p w14:paraId="512221C5" w14:textId="49D8AE0D" w:rsidR="00310391" w:rsidRPr="00310391" w:rsidRDefault="00310391" w:rsidP="00310391">
      <w:pPr>
        <w:pStyle w:val="NormalWeb"/>
        <w:rPr>
          <w:sz w:val="32"/>
          <w:szCs w:val="32"/>
        </w:rPr>
      </w:pPr>
      <w:r w:rsidRPr="00310391">
        <w:rPr>
          <w:sz w:val="32"/>
          <w:szCs w:val="32"/>
        </w:rPr>
        <w:t xml:space="preserve">This is also why Tange’s Skopje should not be read as pure technocracy. The architect who insisted on communications infrastructure also insisted that architecture had to have symbolic force and emotional legibility. In Skopje, “Gate” and “Wall” were not decorative metaphors pasted onto engineering. They were names that made a complex system readable in civic terms. Tange understood that a city cannot be held together by circulation diagrams alone. It also needs forms that people can recognize, narrate, and inhabit collectively. </w:t>
      </w:r>
    </w:p>
    <w:p w14:paraId="25766CD1" w14:textId="60504EDD" w:rsidR="00310391" w:rsidRPr="00310391" w:rsidRDefault="00310391" w:rsidP="00310391">
      <w:pPr>
        <w:pStyle w:val="NormalWeb"/>
        <w:rPr>
          <w:sz w:val="32"/>
          <w:szCs w:val="32"/>
        </w:rPr>
      </w:pPr>
      <w:r w:rsidRPr="00310391">
        <w:rPr>
          <w:sz w:val="32"/>
          <w:szCs w:val="32"/>
        </w:rPr>
        <w:lastRenderedPageBreak/>
        <w:t xml:space="preserve">This is where the </w:t>
      </w:r>
      <w:proofErr w:type="gramStart"/>
      <w:r w:rsidRPr="00310391">
        <w:rPr>
          <w:sz w:val="32"/>
          <w:szCs w:val="32"/>
        </w:rPr>
        <w:t>Japanese-Macedonian</w:t>
      </w:r>
      <w:proofErr w:type="gramEnd"/>
      <w:r w:rsidRPr="00310391">
        <w:rPr>
          <w:sz w:val="32"/>
          <w:szCs w:val="32"/>
        </w:rPr>
        <w:t xml:space="preserve"> fusion truly happened. It did not happen as a matter of surface style. It happened when Tange’s </w:t>
      </w:r>
      <w:proofErr w:type="spellStart"/>
      <w:r w:rsidRPr="00310391">
        <w:rPr>
          <w:sz w:val="32"/>
          <w:szCs w:val="32"/>
        </w:rPr>
        <w:t>metabolist</w:t>
      </w:r>
      <w:proofErr w:type="spellEnd"/>
      <w:r w:rsidRPr="00310391">
        <w:rPr>
          <w:sz w:val="32"/>
          <w:szCs w:val="32"/>
        </w:rPr>
        <w:t xml:space="preserve"> grammar entered Yugoslav planning institutions and was then translated by Macedonian architects responsible for implementation. Docomomo’s work on the City Wall is especially important here: it shows that Tange defined the key planning logic, but the complex itself was realized through local projects. More recent scholarship on “Yugoslav Skopje” makes the same point more broadly—the rebuilt city emerged through local and national know-how, shaped by global exchanges of expertise but never reducible to foreign authorship.</w:t>
      </w:r>
    </w:p>
    <w:p w14:paraId="4B395721" w14:textId="695D261A" w:rsidR="00310391" w:rsidRPr="00310391" w:rsidRDefault="00310391" w:rsidP="00310391">
      <w:pPr>
        <w:pStyle w:val="NormalWeb"/>
        <w:rPr>
          <w:sz w:val="32"/>
          <w:szCs w:val="32"/>
        </w:rPr>
      </w:pPr>
      <w:r w:rsidRPr="00310391">
        <w:rPr>
          <w:sz w:val="32"/>
          <w:szCs w:val="32"/>
        </w:rPr>
        <w:t xml:space="preserve">That makes the built Skopje more, not less, interesting than the myth of a perfect unbuilt masterplan. The City Wall was not fully realized in the totalizing way Tange imagined; the broader scheme was constrained by finance, politics, phasing, and the realities of socialist implementation. Yet that incompleteness is not merely a failure. It reveals the real architectural ambition of the project. The plan was strong enough to organize growth, strong enough to absorb multiple authors, and open enough to survive translation. It behaved, in other words, like a true </w:t>
      </w:r>
      <w:proofErr w:type="spellStart"/>
      <w:r w:rsidRPr="00310391">
        <w:rPr>
          <w:sz w:val="32"/>
          <w:szCs w:val="32"/>
        </w:rPr>
        <w:t>metabolist</w:t>
      </w:r>
      <w:proofErr w:type="spellEnd"/>
      <w:r w:rsidRPr="00310391">
        <w:rPr>
          <w:sz w:val="32"/>
          <w:szCs w:val="32"/>
        </w:rPr>
        <w:t xml:space="preserve"> framework. </w:t>
      </w:r>
    </w:p>
    <w:p w14:paraId="71D07895" w14:textId="614C3A63" w:rsidR="00310391" w:rsidRPr="00310391" w:rsidRDefault="00310391" w:rsidP="00310391">
      <w:pPr>
        <w:pStyle w:val="NormalWeb"/>
        <w:rPr>
          <w:sz w:val="32"/>
          <w:szCs w:val="32"/>
        </w:rPr>
      </w:pPr>
      <w:r w:rsidRPr="00310391">
        <w:rPr>
          <w:sz w:val="32"/>
          <w:szCs w:val="32"/>
        </w:rPr>
        <w:t>Seen from Macedonia, Skopje is one of the clearest instances in which postwar Japanese urban theory entered Europe as practice rather than manifesto. Seen from Japan, it is one of the rare cases in which Metabolism moved beyond exhibition, book, and speculative drawing toward a civic terrain with real inhabitants, real infrastructure, and real political constraints. That is why Skopje matters so much to architects. It shows that the most serious architecture of the 1960s was not just about heroic form. It was about designing the conditions under which a city could continue to change. In Skopje, the Japanese idea was not a style imported from abroad. It was an argument about how a city should live.</w:t>
      </w:r>
    </w:p>
    <w:p w14:paraId="23057F33" w14:textId="4A10E596" w:rsidR="00DA2A91" w:rsidRPr="00310391" w:rsidRDefault="00DA2A91" w:rsidP="00310391">
      <w:pPr>
        <w:rPr>
          <w:sz w:val="32"/>
          <w:szCs w:val="32"/>
        </w:rPr>
      </w:pPr>
    </w:p>
    <w:sectPr w:rsidR="00DA2A91" w:rsidRPr="00310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F3BF3"/>
    <w:multiLevelType w:val="multilevel"/>
    <w:tmpl w:val="42F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E36C2"/>
    <w:multiLevelType w:val="multilevel"/>
    <w:tmpl w:val="D87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948450">
    <w:abstractNumId w:val="1"/>
  </w:num>
  <w:num w:numId="2" w16cid:durableId="92885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EF"/>
    <w:rsid w:val="00082D79"/>
    <w:rsid w:val="00125B26"/>
    <w:rsid w:val="0019681F"/>
    <w:rsid w:val="00301F58"/>
    <w:rsid w:val="00310391"/>
    <w:rsid w:val="00361C61"/>
    <w:rsid w:val="00477282"/>
    <w:rsid w:val="005F24F0"/>
    <w:rsid w:val="00766C02"/>
    <w:rsid w:val="00872C80"/>
    <w:rsid w:val="008B783E"/>
    <w:rsid w:val="00A079EF"/>
    <w:rsid w:val="00A83186"/>
    <w:rsid w:val="00C343C7"/>
    <w:rsid w:val="00DA2A91"/>
    <w:rsid w:val="00ED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172C"/>
  <w15:chartTrackingRefBased/>
  <w15:docId w15:val="{2AACD8A9-C1F0-4340-8903-CBFE6159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9EF"/>
    <w:rPr>
      <w:rFonts w:eastAsiaTheme="majorEastAsia" w:cstheme="majorBidi"/>
      <w:color w:val="272727" w:themeColor="text1" w:themeTint="D8"/>
    </w:rPr>
  </w:style>
  <w:style w:type="paragraph" w:styleId="Title">
    <w:name w:val="Title"/>
    <w:basedOn w:val="Normal"/>
    <w:next w:val="Normal"/>
    <w:link w:val="TitleChar"/>
    <w:uiPriority w:val="10"/>
    <w:qFormat/>
    <w:rsid w:val="00A0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9EF"/>
    <w:pPr>
      <w:spacing w:before="160"/>
      <w:jc w:val="center"/>
    </w:pPr>
    <w:rPr>
      <w:i/>
      <w:iCs/>
      <w:color w:val="404040" w:themeColor="text1" w:themeTint="BF"/>
    </w:rPr>
  </w:style>
  <w:style w:type="character" w:customStyle="1" w:styleId="QuoteChar">
    <w:name w:val="Quote Char"/>
    <w:basedOn w:val="DefaultParagraphFont"/>
    <w:link w:val="Quote"/>
    <w:uiPriority w:val="29"/>
    <w:rsid w:val="00A079EF"/>
    <w:rPr>
      <w:i/>
      <w:iCs/>
      <w:color w:val="404040" w:themeColor="text1" w:themeTint="BF"/>
    </w:rPr>
  </w:style>
  <w:style w:type="paragraph" w:styleId="ListParagraph">
    <w:name w:val="List Paragraph"/>
    <w:basedOn w:val="Normal"/>
    <w:uiPriority w:val="34"/>
    <w:qFormat/>
    <w:rsid w:val="00A079EF"/>
    <w:pPr>
      <w:ind w:left="720"/>
      <w:contextualSpacing/>
    </w:pPr>
  </w:style>
  <w:style w:type="character" w:styleId="IntenseEmphasis">
    <w:name w:val="Intense Emphasis"/>
    <w:basedOn w:val="DefaultParagraphFont"/>
    <w:uiPriority w:val="21"/>
    <w:qFormat/>
    <w:rsid w:val="00A079EF"/>
    <w:rPr>
      <w:i/>
      <w:iCs/>
      <w:color w:val="0F4761" w:themeColor="accent1" w:themeShade="BF"/>
    </w:rPr>
  </w:style>
  <w:style w:type="paragraph" w:styleId="IntenseQuote">
    <w:name w:val="Intense Quote"/>
    <w:basedOn w:val="Normal"/>
    <w:next w:val="Normal"/>
    <w:link w:val="IntenseQuoteChar"/>
    <w:uiPriority w:val="30"/>
    <w:qFormat/>
    <w:rsid w:val="00A07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9EF"/>
    <w:rPr>
      <w:i/>
      <w:iCs/>
      <w:color w:val="0F4761" w:themeColor="accent1" w:themeShade="BF"/>
    </w:rPr>
  </w:style>
  <w:style w:type="character" w:styleId="IntenseReference">
    <w:name w:val="Intense Reference"/>
    <w:basedOn w:val="DefaultParagraphFont"/>
    <w:uiPriority w:val="32"/>
    <w:qFormat/>
    <w:rsid w:val="00A079EF"/>
    <w:rPr>
      <w:b/>
      <w:bCs/>
      <w:smallCaps/>
      <w:color w:val="0F4761" w:themeColor="accent1" w:themeShade="BF"/>
      <w:spacing w:val="5"/>
    </w:rPr>
  </w:style>
  <w:style w:type="paragraph" w:styleId="NormalWeb">
    <w:name w:val="Normal (Web)"/>
    <w:basedOn w:val="Normal"/>
    <w:uiPriority w:val="99"/>
    <w:semiHidden/>
    <w:unhideWhenUsed/>
    <w:rsid w:val="00A079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79EF"/>
    <w:rPr>
      <w:b/>
      <w:bCs/>
    </w:rPr>
  </w:style>
  <w:style w:type="character" w:styleId="Emphasis">
    <w:name w:val="Emphasis"/>
    <w:basedOn w:val="DefaultParagraphFont"/>
    <w:uiPriority w:val="20"/>
    <w:qFormat/>
    <w:rsid w:val="00A079EF"/>
    <w:rPr>
      <w:i/>
      <w:iCs/>
    </w:rPr>
  </w:style>
  <w:style w:type="character" w:styleId="Hyperlink">
    <w:name w:val="Hyperlink"/>
    <w:basedOn w:val="DefaultParagraphFont"/>
    <w:uiPriority w:val="99"/>
    <w:semiHidden/>
    <w:unhideWhenUsed/>
    <w:rsid w:val="00310391"/>
    <w:rPr>
      <w:color w:val="0000FF"/>
      <w:u w:val="single"/>
    </w:rPr>
  </w:style>
  <w:style w:type="character" w:styleId="FollowedHyperlink">
    <w:name w:val="FollowedHyperlink"/>
    <w:basedOn w:val="DefaultParagraphFont"/>
    <w:uiPriority w:val="99"/>
    <w:semiHidden/>
    <w:unhideWhenUsed/>
    <w:rsid w:val="00ED53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9</cp:revision>
  <dcterms:created xsi:type="dcterms:W3CDTF">2026-04-20T01:53:00Z</dcterms:created>
  <dcterms:modified xsi:type="dcterms:W3CDTF">2026-04-20T15:07:00Z</dcterms:modified>
</cp:coreProperties>
</file>