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4E65C" w14:textId="77777777" w:rsidR="00527363" w:rsidRPr="00527363" w:rsidRDefault="00527363" w:rsidP="005273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7363">
        <w:rPr>
          <w:rFonts w:ascii="Times New Roman" w:eastAsia="Times New Roman" w:hAnsi="Times New Roman" w:cs="Times New Roman"/>
          <w:b/>
          <w:bCs/>
          <w:kern w:val="0"/>
          <w:sz w:val="36"/>
          <w:szCs w:val="36"/>
          <w14:ligatures w14:val="none"/>
        </w:rPr>
        <w:t>What the Painting Withholds</w:t>
      </w:r>
    </w:p>
    <w:p w14:paraId="157641E6" w14:textId="77777777" w:rsidR="00527363" w:rsidRPr="00527363" w:rsidRDefault="00527363" w:rsidP="00527363">
      <w:pPr>
        <w:spacing w:before="100" w:beforeAutospacing="1" w:after="100" w:afterAutospacing="1" w:line="240" w:lineRule="auto"/>
        <w:rPr>
          <w:rFonts w:ascii="Times New Roman" w:eastAsia="Times New Roman" w:hAnsi="Times New Roman" w:cs="Times New Roman"/>
          <w:kern w:val="0"/>
          <w14:ligatures w14:val="none"/>
        </w:rPr>
      </w:pPr>
      <w:r w:rsidRPr="00527363">
        <w:rPr>
          <w:rFonts w:ascii="Times New Roman" w:eastAsia="Times New Roman" w:hAnsi="Times New Roman" w:cs="Times New Roman"/>
          <w:i/>
          <w:iCs/>
          <w:kern w:val="0"/>
          <w14:ligatures w14:val="none"/>
        </w:rPr>
        <w:t>Nikola Martinoski and the Formation of Modern Macedonian Painting</w:t>
      </w:r>
    </w:p>
    <w:p w14:paraId="74CACC60" w14:textId="77777777" w:rsidR="00527363" w:rsidRPr="00527363" w:rsidRDefault="00527363" w:rsidP="00527363">
      <w:pPr>
        <w:spacing w:before="100" w:beforeAutospacing="1" w:after="100" w:afterAutospacing="1" w:line="240" w:lineRule="auto"/>
        <w:rPr>
          <w:rFonts w:ascii="Times New Roman" w:eastAsia="Times New Roman" w:hAnsi="Times New Roman" w:cs="Times New Roman"/>
          <w:kern w:val="0"/>
          <w14:ligatures w14:val="none"/>
        </w:rPr>
      </w:pPr>
      <w:r w:rsidRPr="00527363">
        <w:rPr>
          <w:rFonts w:ascii="Times New Roman" w:eastAsia="Times New Roman" w:hAnsi="Times New Roman" w:cs="Times New Roman"/>
          <w:kern w:val="0"/>
          <w14:ligatures w14:val="none"/>
        </w:rPr>
        <w:t xml:space="preserve">Nikola Martinoski (1903–1973) is generally regarded as a central figure in the formation of modern Macedonian painting, not only for the scale of his output but for the particular way in which his work mediates between imported modernist forms and the specific historical and social conditions of the Macedonian context in the first half of the twentieth century. Born in </w:t>
      </w:r>
      <w:proofErr w:type="spellStart"/>
      <w:r w:rsidRPr="00527363">
        <w:rPr>
          <w:rFonts w:ascii="Times New Roman" w:eastAsia="Times New Roman" w:hAnsi="Times New Roman" w:cs="Times New Roman"/>
          <w:kern w:val="0"/>
          <w14:ligatures w14:val="none"/>
        </w:rPr>
        <w:t>Kruševo</w:t>
      </w:r>
      <w:proofErr w:type="spellEnd"/>
      <w:r w:rsidRPr="00527363">
        <w:rPr>
          <w:rFonts w:ascii="Times New Roman" w:eastAsia="Times New Roman" w:hAnsi="Times New Roman" w:cs="Times New Roman"/>
          <w:kern w:val="0"/>
          <w14:ligatures w14:val="none"/>
        </w:rPr>
        <w:t xml:space="preserve"> during the final decades of Ottoman rule, </w:t>
      </w:r>
      <w:proofErr w:type="spellStart"/>
      <w:r w:rsidRPr="00527363">
        <w:rPr>
          <w:rFonts w:ascii="Times New Roman" w:eastAsia="Times New Roman" w:hAnsi="Times New Roman" w:cs="Times New Roman"/>
          <w:kern w:val="0"/>
          <w14:ligatures w14:val="none"/>
        </w:rPr>
        <w:t>Martinoski’s</w:t>
      </w:r>
      <w:proofErr w:type="spellEnd"/>
      <w:r w:rsidRPr="00527363">
        <w:rPr>
          <w:rFonts w:ascii="Times New Roman" w:eastAsia="Times New Roman" w:hAnsi="Times New Roman" w:cs="Times New Roman"/>
          <w:kern w:val="0"/>
          <w14:ligatures w14:val="none"/>
        </w:rPr>
        <w:t xml:space="preserve"> early life unfolded within a region undergoing rapid political transformation, first through the Balkan Wars and subsequently through incorporation into the Kingdom of Yugoslavia. These conditions are not incidental to his work; they form the background against which his artistic concerns take shape.</w:t>
      </w:r>
    </w:p>
    <w:p w14:paraId="230F6514" w14:textId="77777777" w:rsidR="00527363" w:rsidRPr="00527363" w:rsidRDefault="00527363" w:rsidP="00527363">
      <w:pPr>
        <w:spacing w:before="100" w:beforeAutospacing="1" w:after="100" w:afterAutospacing="1" w:line="240" w:lineRule="auto"/>
        <w:rPr>
          <w:rFonts w:ascii="Times New Roman" w:eastAsia="Times New Roman" w:hAnsi="Times New Roman" w:cs="Times New Roman"/>
          <w:kern w:val="0"/>
          <w14:ligatures w14:val="none"/>
        </w:rPr>
      </w:pPr>
      <w:r w:rsidRPr="00527363">
        <w:rPr>
          <w:rFonts w:ascii="Times New Roman" w:eastAsia="Times New Roman" w:hAnsi="Times New Roman" w:cs="Times New Roman"/>
          <w:kern w:val="0"/>
          <w14:ligatures w14:val="none"/>
        </w:rPr>
        <w:t>His formal training at the Academy of Fine Arts in Bucharest, completed in the 1920s, placed him within a conventional academic framework grounded in drawing, composition, and the study of European painting traditions. His subsequent stay in Paris exposed him to a broader range of modernist tendencies, including post-impressionism and expressionism, though there is little evidence to suggest direct alignment with any single movement. What is more significant is the structural shift that occurs upon his return to Macedonia: the techniques acquired abroad are redirected toward subjects that are distinctly local, both in their iconography and in their social implications.</w:t>
      </w:r>
    </w:p>
    <w:p w14:paraId="20A580D1" w14:textId="77777777" w:rsidR="00527363" w:rsidRPr="00527363" w:rsidRDefault="00527363" w:rsidP="0052736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27363">
        <w:rPr>
          <w:rFonts w:ascii="Times New Roman" w:eastAsia="Times New Roman" w:hAnsi="Times New Roman" w:cs="Times New Roman"/>
          <w:kern w:val="0"/>
          <w14:ligatures w14:val="none"/>
        </w:rPr>
        <w:t>Martinoski’s</w:t>
      </w:r>
      <w:proofErr w:type="spellEnd"/>
      <w:r w:rsidRPr="00527363">
        <w:rPr>
          <w:rFonts w:ascii="Times New Roman" w:eastAsia="Times New Roman" w:hAnsi="Times New Roman" w:cs="Times New Roman"/>
          <w:kern w:val="0"/>
          <w14:ligatures w14:val="none"/>
        </w:rPr>
        <w:t xml:space="preserve"> work is frequently described as expressionist, but such a designation is only partially adequate. The distortions evident in his figures—elongated forms, compressed spatial relations, and an emphasis on contour over volumetric modeling—do not function primarily as vehicles of subjective interiority, as is often the case in Western European expressionism. Rather, they operate as a means of registering the material and social conditions of the subjects depicted. His figures are rarely individualized in the sense of portraiture; instead, they tend toward typological representation, standing in for broader categories of social existence. This tendency is particularly evident in his depictions of rural life, labor, and domestic scenes, where the emphasis falls not on narrative specificity but on the structural conditions of everyday experience.</w:t>
      </w:r>
    </w:p>
    <w:p w14:paraId="084B8F85" w14:textId="77777777" w:rsidR="00527363" w:rsidRPr="00527363" w:rsidRDefault="00527363" w:rsidP="00527363">
      <w:pPr>
        <w:spacing w:before="100" w:beforeAutospacing="1" w:after="100" w:afterAutospacing="1" w:line="240" w:lineRule="auto"/>
        <w:rPr>
          <w:rFonts w:ascii="Times New Roman" w:eastAsia="Times New Roman" w:hAnsi="Times New Roman" w:cs="Times New Roman"/>
          <w:kern w:val="0"/>
          <w14:ligatures w14:val="none"/>
        </w:rPr>
      </w:pPr>
      <w:r w:rsidRPr="00527363">
        <w:rPr>
          <w:rFonts w:ascii="Times New Roman" w:eastAsia="Times New Roman" w:hAnsi="Times New Roman" w:cs="Times New Roman"/>
          <w:kern w:val="0"/>
          <w14:ligatures w14:val="none"/>
        </w:rPr>
        <w:t xml:space="preserve">At the same time, </w:t>
      </w:r>
      <w:proofErr w:type="spellStart"/>
      <w:r w:rsidRPr="00527363">
        <w:rPr>
          <w:rFonts w:ascii="Times New Roman" w:eastAsia="Times New Roman" w:hAnsi="Times New Roman" w:cs="Times New Roman"/>
          <w:kern w:val="0"/>
          <w14:ligatures w14:val="none"/>
        </w:rPr>
        <w:t>Martinoski’s</w:t>
      </w:r>
      <w:proofErr w:type="spellEnd"/>
      <w:r w:rsidRPr="00527363">
        <w:rPr>
          <w:rFonts w:ascii="Times New Roman" w:eastAsia="Times New Roman" w:hAnsi="Times New Roman" w:cs="Times New Roman"/>
          <w:kern w:val="0"/>
          <w14:ligatures w14:val="none"/>
        </w:rPr>
        <w:t xml:space="preserve"> engagement with the human figure cannot be separated from his relationship to earlier visual traditions in the region. His compositions often exhibit a flattening of space and a frontal arrangement of figures that recall elements of Byzantine and post-Byzantine fresco painting, which remained a visible part of the visual environment in Macedonia. These references are not direct quotations but formal echoes, reconfigured within a modern pictorial logic. The result is a hybrid visual language in which modernist techniques coexist with compositional strategies derived from ecclesiastical art. This coexistence produces a tension rather than a synthesis; the figures appear both grounded in a historical tradition and displaced from it, neither fully integrated into a continuous lineage nor entirely severed from it.</w:t>
      </w:r>
    </w:p>
    <w:p w14:paraId="55CDA0A1" w14:textId="77777777" w:rsidR="00527363" w:rsidRPr="00527363" w:rsidRDefault="00527363" w:rsidP="00527363">
      <w:pPr>
        <w:spacing w:before="100" w:beforeAutospacing="1" w:after="100" w:afterAutospacing="1" w:line="240" w:lineRule="auto"/>
        <w:rPr>
          <w:rFonts w:ascii="Times New Roman" w:eastAsia="Times New Roman" w:hAnsi="Times New Roman" w:cs="Times New Roman"/>
          <w:kern w:val="0"/>
          <w14:ligatures w14:val="none"/>
        </w:rPr>
      </w:pPr>
      <w:r w:rsidRPr="00527363">
        <w:rPr>
          <w:rFonts w:ascii="Times New Roman" w:eastAsia="Times New Roman" w:hAnsi="Times New Roman" w:cs="Times New Roman"/>
          <w:kern w:val="0"/>
          <w14:ligatures w14:val="none"/>
        </w:rPr>
        <w:t xml:space="preserve">The question of the human subject is central to </w:t>
      </w:r>
      <w:proofErr w:type="spellStart"/>
      <w:r w:rsidRPr="00527363">
        <w:rPr>
          <w:rFonts w:ascii="Times New Roman" w:eastAsia="Times New Roman" w:hAnsi="Times New Roman" w:cs="Times New Roman"/>
          <w:kern w:val="0"/>
          <w14:ligatures w14:val="none"/>
        </w:rPr>
        <w:t>Martinoski’s</w:t>
      </w:r>
      <w:proofErr w:type="spellEnd"/>
      <w:r w:rsidRPr="00527363">
        <w:rPr>
          <w:rFonts w:ascii="Times New Roman" w:eastAsia="Times New Roman" w:hAnsi="Times New Roman" w:cs="Times New Roman"/>
          <w:kern w:val="0"/>
          <w14:ligatures w14:val="none"/>
        </w:rPr>
        <w:t xml:space="preserve"> work, but it is approached in a manner that resists idealization. His figures are often depicted in states of stillness or constraint, occupying spaces that offer little possibility of movement or transformation. This quality has </w:t>
      </w:r>
      <w:r w:rsidRPr="00527363">
        <w:rPr>
          <w:rFonts w:ascii="Times New Roman" w:eastAsia="Times New Roman" w:hAnsi="Times New Roman" w:cs="Times New Roman"/>
          <w:kern w:val="0"/>
          <w14:ligatures w14:val="none"/>
        </w:rPr>
        <w:lastRenderedPageBreak/>
        <w:t xml:space="preserve">sometimes been interpreted in purely formal terms, but it is more productively understood as a response to the broader social context in which the work was produced. The interwar and postwar periods in the Balkans were marked by economic instability, rural poverty, and uneven processes of modernization. </w:t>
      </w:r>
      <w:proofErr w:type="spellStart"/>
      <w:r w:rsidRPr="00527363">
        <w:rPr>
          <w:rFonts w:ascii="Times New Roman" w:eastAsia="Times New Roman" w:hAnsi="Times New Roman" w:cs="Times New Roman"/>
          <w:kern w:val="0"/>
          <w14:ligatures w14:val="none"/>
        </w:rPr>
        <w:t>Martinoski’s</w:t>
      </w:r>
      <w:proofErr w:type="spellEnd"/>
      <w:r w:rsidRPr="00527363">
        <w:rPr>
          <w:rFonts w:ascii="Times New Roman" w:eastAsia="Times New Roman" w:hAnsi="Times New Roman" w:cs="Times New Roman"/>
          <w:kern w:val="0"/>
          <w14:ligatures w14:val="none"/>
        </w:rPr>
        <w:t xml:space="preserve"> paintings do not represent these conditions through overt narrative or symbolic devices; instead, they register them through the structure of the image itself. The compression of space, the weight of contour, and the absence of dynamic movement all contribute to a sense of limitation that is intrinsic to the pictorial field.</w:t>
      </w:r>
    </w:p>
    <w:p w14:paraId="4C982CFC" w14:textId="77777777" w:rsidR="00527363" w:rsidRPr="00527363" w:rsidRDefault="00527363" w:rsidP="00527363">
      <w:pPr>
        <w:spacing w:before="100" w:beforeAutospacing="1" w:after="100" w:afterAutospacing="1" w:line="240" w:lineRule="auto"/>
        <w:rPr>
          <w:rFonts w:ascii="Times New Roman" w:eastAsia="Times New Roman" w:hAnsi="Times New Roman" w:cs="Times New Roman"/>
          <w:kern w:val="0"/>
          <w14:ligatures w14:val="none"/>
        </w:rPr>
      </w:pPr>
      <w:r w:rsidRPr="00527363">
        <w:rPr>
          <w:rFonts w:ascii="Times New Roman" w:eastAsia="Times New Roman" w:hAnsi="Times New Roman" w:cs="Times New Roman"/>
          <w:kern w:val="0"/>
          <w14:ligatures w14:val="none"/>
        </w:rPr>
        <w:t xml:space="preserve">It is also necessary to situate </w:t>
      </w:r>
      <w:proofErr w:type="spellStart"/>
      <w:r w:rsidRPr="00527363">
        <w:rPr>
          <w:rFonts w:ascii="Times New Roman" w:eastAsia="Times New Roman" w:hAnsi="Times New Roman" w:cs="Times New Roman"/>
          <w:kern w:val="0"/>
          <w14:ligatures w14:val="none"/>
        </w:rPr>
        <w:t>Martinoski</w:t>
      </w:r>
      <w:proofErr w:type="spellEnd"/>
      <w:r w:rsidRPr="00527363">
        <w:rPr>
          <w:rFonts w:ascii="Times New Roman" w:eastAsia="Times New Roman" w:hAnsi="Times New Roman" w:cs="Times New Roman"/>
          <w:kern w:val="0"/>
          <w14:ligatures w14:val="none"/>
        </w:rPr>
        <w:t xml:space="preserve"> within the institutional development of Macedonian art. He was among the artists involved in the establishment of cultural institutions in Skopje, including the National Gallery, and participated in exhibitions both within Yugoslavia and internationally. His role, therefore, extends beyond the production of individual works to encompass the formation of an artistic infrastructure. This institutional dimension reinforces his position as a foundational figure, though it also complicates the reception of his work, which has often been framed within national narratives that risk reducing its formal complexity.</w:t>
      </w:r>
    </w:p>
    <w:p w14:paraId="050299FD" w14:textId="77777777" w:rsidR="00527363" w:rsidRPr="00527363" w:rsidRDefault="00527363" w:rsidP="00527363">
      <w:pPr>
        <w:spacing w:before="100" w:beforeAutospacing="1" w:after="100" w:afterAutospacing="1" w:line="240" w:lineRule="auto"/>
        <w:rPr>
          <w:rFonts w:ascii="Times New Roman" w:eastAsia="Times New Roman" w:hAnsi="Times New Roman" w:cs="Times New Roman"/>
          <w:kern w:val="0"/>
          <w14:ligatures w14:val="none"/>
        </w:rPr>
      </w:pPr>
      <w:r w:rsidRPr="00527363">
        <w:rPr>
          <w:rFonts w:ascii="Times New Roman" w:eastAsia="Times New Roman" w:hAnsi="Times New Roman" w:cs="Times New Roman"/>
          <w:kern w:val="0"/>
          <w14:ligatures w14:val="none"/>
        </w:rPr>
        <w:t xml:space="preserve">Despite this centrality, </w:t>
      </w:r>
      <w:proofErr w:type="spellStart"/>
      <w:r w:rsidRPr="00527363">
        <w:rPr>
          <w:rFonts w:ascii="Times New Roman" w:eastAsia="Times New Roman" w:hAnsi="Times New Roman" w:cs="Times New Roman"/>
          <w:kern w:val="0"/>
          <w14:ligatures w14:val="none"/>
        </w:rPr>
        <w:t>Martinoski’s</w:t>
      </w:r>
      <w:proofErr w:type="spellEnd"/>
      <w:r w:rsidRPr="00527363">
        <w:rPr>
          <w:rFonts w:ascii="Times New Roman" w:eastAsia="Times New Roman" w:hAnsi="Times New Roman" w:cs="Times New Roman"/>
          <w:kern w:val="0"/>
          <w14:ligatures w14:val="none"/>
        </w:rPr>
        <w:t xml:space="preserve"> work has remained relatively marginal in broader accounts of European modernism. This marginality is not solely the result of geopolitical factors; it also reflects the difficulty of integrating his work into established art historical frameworks. His paintings do not fit comfortably within the dominant narratives of modernism, which tend to privilege either formal innovation detached from social context or politically explicit forms of representation. </w:t>
      </w:r>
      <w:proofErr w:type="spellStart"/>
      <w:r w:rsidRPr="00527363">
        <w:rPr>
          <w:rFonts w:ascii="Times New Roman" w:eastAsia="Times New Roman" w:hAnsi="Times New Roman" w:cs="Times New Roman"/>
          <w:kern w:val="0"/>
          <w14:ligatures w14:val="none"/>
        </w:rPr>
        <w:t>Martinoski</w:t>
      </w:r>
      <w:proofErr w:type="spellEnd"/>
      <w:r w:rsidRPr="00527363">
        <w:rPr>
          <w:rFonts w:ascii="Times New Roman" w:eastAsia="Times New Roman" w:hAnsi="Times New Roman" w:cs="Times New Roman"/>
          <w:kern w:val="0"/>
          <w14:ligatures w14:val="none"/>
        </w:rPr>
        <w:t xml:space="preserve"> occupies an intermediate position. His work is formally modern but not avant-garde in the conventional sense, and socially engaged without adopting the explicit visual rhetoric of political art.</w:t>
      </w:r>
    </w:p>
    <w:p w14:paraId="4FDA3B9A" w14:textId="77777777" w:rsidR="00527363" w:rsidRPr="00527363" w:rsidRDefault="00527363" w:rsidP="00527363">
      <w:pPr>
        <w:spacing w:before="100" w:beforeAutospacing="1" w:after="100" w:afterAutospacing="1" w:line="240" w:lineRule="auto"/>
        <w:rPr>
          <w:rFonts w:ascii="Times New Roman" w:eastAsia="Times New Roman" w:hAnsi="Times New Roman" w:cs="Times New Roman"/>
          <w:kern w:val="0"/>
          <w14:ligatures w14:val="none"/>
        </w:rPr>
      </w:pPr>
      <w:r w:rsidRPr="00527363">
        <w:rPr>
          <w:rFonts w:ascii="Times New Roman" w:eastAsia="Times New Roman" w:hAnsi="Times New Roman" w:cs="Times New Roman"/>
          <w:kern w:val="0"/>
          <w14:ligatures w14:val="none"/>
        </w:rPr>
        <w:t xml:space="preserve">What emerges, then, is a body of work that is defined less by stylistic coherence than by a persistent engagement with the limits of representation. </w:t>
      </w:r>
      <w:proofErr w:type="spellStart"/>
      <w:r w:rsidRPr="00527363">
        <w:rPr>
          <w:rFonts w:ascii="Times New Roman" w:eastAsia="Times New Roman" w:hAnsi="Times New Roman" w:cs="Times New Roman"/>
          <w:kern w:val="0"/>
          <w14:ligatures w14:val="none"/>
        </w:rPr>
        <w:t>Martinoski’s</w:t>
      </w:r>
      <w:proofErr w:type="spellEnd"/>
      <w:r w:rsidRPr="00527363">
        <w:rPr>
          <w:rFonts w:ascii="Times New Roman" w:eastAsia="Times New Roman" w:hAnsi="Times New Roman" w:cs="Times New Roman"/>
          <w:kern w:val="0"/>
          <w14:ligatures w14:val="none"/>
        </w:rPr>
        <w:t xml:space="preserve"> paintings do not resolve the tensions they articulate. The relationship between form and content remains unstable; the human figure is both present and constrained; historical references are invoked without being fully assimilated. This refusal of resolution is not an absence but a condition of the work’s specificity. It prevents the paintings from being absorbed into more general categories—whether national, stylistic, or ideological—and instead demands a mode of viewing that acknowledges their internal contradictions.</w:t>
      </w:r>
    </w:p>
    <w:p w14:paraId="022D61BC" w14:textId="77777777" w:rsidR="00527363" w:rsidRPr="00527363" w:rsidRDefault="00527363" w:rsidP="00527363">
      <w:pPr>
        <w:spacing w:before="100" w:beforeAutospacing="1" w:after="100" w:afterAutospacing="1" w:line="240" w:lineRule="auto"/>
        <w:rPr>
          <w:rFonts w:ascii="Times New Roman" w:eastAsia="Times New Roman" w:hAnsi="Times New Roman" w:cs="Times New Roman"/>
          <w:kern w:val="0"/>
          <w14:ligatures w14:val="none"/>
        </w:rPr>
      </w:pPr>
      <w:r w:rsidRPr="00527363">
        <w:rPr>
          <w:rFonts w:ascii="Times New Roman" w:eastAsia="Times New Roman" w:hAnsi="Times New Roman" w:cs="Times New Roman"/>
          <w:kern w:val="0"/>
          <w14:ligatures w14:val="none"/>
        </w:rPr>
        <w:t xml:space="preserve">In this sense, </w:t>
      </w:r>
      <w:proofErr w:type="spellStart"/>
      <w:r w:rsidRPr="00527363">
        <w:rPr>
          <w:rFonts w:ascii="Times New Roman" w:eastAsia="Times New Roman" w:hAnsi="Times New Roman" w:cs="Times New Roman"/>
          <w:kern w:val="0"/>
          <w14:ligatures w14:val="none"/>
        </w:rPr>
        <w:t>Martinoski’s</w:t>
      </w:r>
      <w:proofErr w:type="spellEnd"/>
      <w:r w:rsidRPr="00527363">
        <w:rPr>
          <w:rFonts w:ascii="Times New Roman" w:eastAsia="Times New Roman" w:hAnsi="Times New Roman" w:cs="Times New Roman"/>
          <w:kern w:val="0"/>
          <w14:ligatures w14:val="none"/>
        </w:rPr>
        <w:t xml:space="preserve"> importance lies not only in his position within Macedonian art history but in the </w:t>
      </w:r>
      <w:proofErr w:type="gramStart"/>
      <w:r w:rsidRPr="00527363">
        <w:rPr>
          <w:rFonts w:ascii="Times New Roman" w:eastAsia="Times New Roman" w:hAnsi="Times New Roman" w:cs="Times New Roman"/>
          <w:kern w:val="0"/>
          <w14:ligatures w14:val="none"/>
        </w:rPr>
        <w:t>particular configuration</w:t>
      </w:r>
      <w:proofErr w:type="gramEnd"/>
      <w:r w:rsidRPr="00527363">
        <w:rPr>
          <w:rFonts w:ascii="Times New Roman" w:eastAsia="Times New Roman" w:hAnsi="Times New Roman" w:cs="Times New Roman"/>
          <w:kern w:val="0"/>
          <w14:ligatures w14:val="none"/>
        </w:rPr>
        <w:t xml:space="preserve"> of problems his work presents. His paintings do not offer a coherent image of social reality, nor do they provide an abstract formal solution. They occupy a space in which both possibilities are held in suspension. It is precisely this suspension—this withholding—that gives the work its enduring significance.</w:t>
      </w:r>
    </w:p>
    <w:p w14:paraId="38F5F907" w14:textId="77777777" w:rsidR="00DA2A91" w:rsidRPr="00527363" w:rsidRDefault="00DA2A91" w:rsidP="00527363"/>
    <w:sectPr w:rsidR="00DA2A91" w:rsidRPr="005273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B53EA"/>
    <w:multiLevelType w:val="multilevel"/>
    <w:tmpl w:val="ED88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014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75B"/>
    <w:rsid w:val="000F0A3B"/>
    <w:rsid w:val="001441F1"/>
    <w:rsid w:val="002F675B"/>
    <w:rsid w:val="00477282"/>
    <w:rsid w:val="00527363"/>
    <w:rsid w:val="00832BAD"/>
    <w:rsid w:val="00872C80"/>
    <w:rsid w:val="00DA2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D4B8E"/>
  <w15:chartTrackingRefBased/>
  <w15:docId w15:val="{8C727E7C-7E67-0E48-A3DC-C00CB99F1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6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6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6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6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75B"/>
    <w:rPr>
      <w:rFonts w:eastAsiaTheme="majorEastAsia" w:cstheme="majorBidi"/>
      <w:color w:val="272727" w:themeColor="text1" w:themeTint="D8"/>
    </w:rPr>
  </w:style>
  <w:style w:type="paragraph" w:styleId="Title">
    <w:name w:val="Title"/>
    <w:basedOn w:val="Normal"/>
    <w:next w:val="Normal"/>
    <w:link w:val="TitleChar"/>
    <w:uiPriority w:val="10"/>
    <w:qFormat/>
    <w:rsid w:val="002F6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75B"/>
    <w:pPr>
      <w:spacing w:before="160"/>
      <w:jc w:val="center"/>
    </w:pPr>
    <w:rPr>
      <w:i/>
      <w:iCs/>
      <w:color w:val="404040" w:themeColor="text1" w:themeTint="BF"/>
    </w:rPr>
  </w:style>
  <w:style w:type="character" w:customStyle="1" w:styleId="QuoteChar">
    <w:name w:val="Quote Char"/>
    <w:basedOn w:val="DefaultParagraphFont"/>
    <w:link w:val="Quote"/>
    <w:uiPriority w:val="29"/>
    <w:rsid w:val="002F675B"/>
    <w:rPr>
      <w:i/>
      <w:iCs/>
      <w:color w:val="404040" w:themeColor="text1" w:themeTint="BF"/>
    </w:rPr>
  </w:style>
  <w:style w:type="paragraph" w:styleId="ListParagraph">
    <w:name w:val="List Paragraph"/>
    <w:basedOn w:val="Normal"/>
    <w:uiPriority w:val="34"/>
    <w:qFormat/>
    <w:rsid w:val="002F675B"/>
    <w:pPr>
      <w:ind w:left="720"/>
      <w:contextualSpacing/>
    </w:pPr>
  </w:style>
  <w:style w:type="character" w:styleId="IntenseEmphasis">
    <w:name w:val="Intense Emphasis"/>
    <w:basedOn w:val="DefaultParagraphFont"/>
    <w:uiPriority w:val="21"/>
    <w:qFormat/>
    <w:rsid w:val="002F675B"/>
    <w:rPr>
      <w:i/>
      <w:iCs/>
      <w:color w:val="0F4761" w:themeColor="accent1" w:themeShade="BF"/>
    </w:rPr>
  </w:style>
  <w:style w:type="paragraph" w:styleId="IntenseQuote">
    <w:name w:val="Intense Quote"/>
    <w:basedOn w:val="Normal"/>
    <w:next w:val="Normal"/>
    <w:link w:val="IntenseQuoteChar"/>
    <w:uiPriority w:val="30"/>
    <w:qFormat/>
    <w:rsid w:val="002F6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75B"/>
    <w:rPr>
      <w:i/>
      <w:iCs/>
      <w:color w:val="0F4761" w:themeColor="accent1" w:themeShade="BF"/>
    </w:rPr>
  </w:style>
  <w:style w:type="character" w:styleId="IntenseReference">
    <w:name w:val="Intense Reference"/>
    <w:basedOn w:val="DefaultParagraphFont"/>
    <w:uiPriority w:val="32"/>
    <w:qFormat/>
    <w:rsid w:val="002F675B"/>
    <w:rPr>
      <w:b/>
      <w:bCs/>
      <w:smallCaps/>
      <w:color w:val="0F4761" w:themeColor="accent1" w:themeShade="BF"/>
      <w:spacing w:val="5"/>
    </w:rPr>
  </w:style>
  <w:style w:type="paragraph" w:styleId="NormalWeb">
    <w:name w:val="Normal (Web)"/>
    <w:basedOn w:val="Normal"/>
    <w:uiPriority w:val="99"/>
    <w:semiHidden/>
    <w:unhideWhenUsed/>
    <w:rsid w:val="002F67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675B"/>
    <w:rPr>
      <w:b/>
      <w:bCs/>
    </w:rPr>
  </w:style>
  <w:style w:type="character" w:styleId="Emphasis">
    <w:name w:val="Emphasis"/>
    <w:basedOn w:val="DefaultParagraphFont"/>
    <w:uiPriority w:val="20"/>
    <w:qFormat/>
    <w:rsid w:val="002F675B"/>
    <w:rPr>
      <w:i/>
      <w:iCs/>
    </w:rPr>
  </w:style>
  <w:style w:type="character" w:styleId="Hyperlink">
    <w:name w:val="Hyperlink"/>
    <w:basedOn w:val="DefaultParagraphFont"/>
    <w:uiPriority w:val="99"/>
    <w:semiHidden/>
    <w:unhideWhenUsed/>
    <w:rsid w:val="002F67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993</Words>
  <Characters>5662</Characters>
  <Application>Microsoft Office Word</Application>
  <DocSecurity>0</DocSecurity>
  <Lines>47</Lines>
  <Paragraphs>13</Paragraphs>
  <ScaleCrop>false</ScaleCrop>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Trajkovski</dc:creator>
  <cp:keywords/>
  <dc:description/>
  <cp:lastModifiedBy>Alex Trajkovski</cp:lastModifiedBy>
  <cp:revision>2</cp:revision>
  <dcterms:created xsi:type="dcterms:W3CDTF">2026-04-15T15:44:00Z</dcterms:created>
  <dcterms:modified xsi:type="dcterms:W3CDTF">2026-04-16T01:10:00Z</dcterms:modified>
</cp:coreProperties>
</file>