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27D9A0" w14:textId="77777777" w:rsidR="00EF22A1" w:rsidRPr="00EF22A1" w:rsidRDefault="00EF22A1" w:rsidP="00EF22A1">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EF22A1">
        <w:rPr>
          <w:rFonts w:ascii="Times New Roman" w:eastAsia="Times New Roman" w:hAnsi="Times New Roman" w:cs="Times New Roman"/>
          <w:kern w:val="0"/>
          <w:sz w:val="32"/>
          <w:szCs w:val="32"/>
          <w14:ligatures w14:val="none"/>
        </w:rPr>
        <w:t>Modern Macedonian painting did not arrive as a tidy package from Paris, wrapped in theory and tied with a ribbon of influence. It arrived broken, translated, argued over, and made under pressure. In the work of Nikola Martinoski, that pressure is visible everywhere: in the sharpened cheekbone, the bent back, the mother’s hand, the beggar’s stance, the café woman’s brittle poise, the partisan’s severity, the earthquake survivor’s shaken contour. His paintings are full of faces, but the face is never only a face. It is a social fact. It is fatigue, dignity, eros, deprivation, memory. It is history, forced to sit still long enough to be painted.</w:t>
      </w:r>
    </w:p>
    <w:p w14:paraId="4CD497BB" w14:textId="77777777" w:rsidR="00EF22A1" w:rsidRPr="00EF22A1" w:rsidRDefault="00EF22A1" w:rsidP="00EF22A1">
      <w:pPr>
        <w:spacing w:before="100" w:beforeAutospacing="1" w:after="100" w:afterAutospacing="1" w:line="240" w:lineRule="auto"/>
        <w:rPr>
          <w:rFonts w:ascii="Times New Roman" w:eastAsia="Times New Roman" w:hAnsi="Times New Roman" w:cs="Times New Roman"/>
          <w:kern w:val="0"/>
          <w:sz w:val="32"/>
          <w:szCs w:val="32"/>
          <w14:ligatures w14:val="none"/>
        </w:rPr>
      </w:pPr>
      <w:proofErr w:type="spellStart"/>
      <w:r w:rsidRPr="00EF22A1">
        <w:rPr>
          <w:rFonts w:ascii="Times New Roman" w:eastAsia="Times New Roman" w:hAnsi="Times New Roman" w:cs="Times New Roman"/>
          <w:kern w:val="0"/>
          <w:sz w:val="32"/>
          <w:szCs w:val="32"/>
          <w14:ligatures w14:val="none"/>
        </w:rPr>
        <w:t>Martinoski</w:t>
      </w:r>
      <w:proofErr w:type="spellEnd"/>
      <w:r w:rsidRPr="00EF22A1">
        <w:rPr>
          <w:rFonts w:ascii="Times New Roman" w:eastAsia="Times New Roman" w:hAnsi="Times New Roman" w:cs="Times New Roman"/>
          <w:kern w:val="0"/>
          <w:sz w:val="32"/>
          <w:szCs w:val="32"/>
          <w14:ligatures w14:val="none"/>
        </w:rPr>
        <w:t xml:space="preserve"> stands at the hinge point where Macedonian painting became recognizably modern. He was born in </w:t>
      </w:r>
      <w:proofErr w:type="spellStart"/>
      <w:r w:rsidRPr="00EF22A1">
        <w:rPr>
          <w:rFonts w:ascii="Times New Roman" w:eastAsia="Times New Roman" w:hAnsi="Times New Roman" w:cs="Times New Roman"/>
          <w:kern w:val="0"/>
          <w:sz w:val="32"/>
          <w:szCs w:val="32"/>
          <w14:ligatures w14:val="none"/>
        </w:rPr>
        <w:t>Kruševo</w:t>
      </w:r>
      <w:proofErr w:type="spellEnd"/>
      <w:r w:rsidRPr="00EF22A1">
        <w:rPr>
          <w:rFonts w:ascii="Times New Roman" w:eastAsia="Times New Roman" w:hAnsi="Times New Roman" w:cs="Times New Roman"/>
          <w:kern w:val="0"/>
          <w:sz w:val="32"/>
          <w:szCs w:val="32"/>
          <w14:ligatures w14:val="none"/>
        </w:rPr>
        <w:t xml:space="preserve"> on August 18, 1903, and died in Skopje on February 7, 1973. Between those dates he did something rarer than influence: he made a language. Trained professionally at the School of Fine Arts in Bucharest from 1920 to 1927, then transformed by a crucial stay in Paris in 1927–1928, at the Académie de la Grande </w:t>
      </w:r>
      <w:proofErr w:type="spellStart"/>
      <w:r w:rsidRPr="00EF22A1">
        <w:rPr>
          <w:rFonts w:ascii="Times New Roman" w:eastAsia="Times New Roman" w:hAnsi="Times New Roman" w:cs="Times New Roman"/>
          <w:kern w:val="0"/>
          <w:sz w:val="32"/>
          <w:szCs w:val="32"/>
          <w14:ligatures w14:val="none"/>
        </w:rPr>
        <w:t>Chaumière</w:t>
      </w:r>
      <w:proofErr w:type="spellEnd"/>
      <w:r w:rsidRPr="00EF22A1">
        <w:rPr>
          <w:rFonts w:ascii="Times New Roman" w:eastAsia="Times New Roman" w:hAnsi="Times New Roman" w:cs="Times New Roman"/>
          <w:kern w:val="0"/>
          <w:sz w:val="32"/>
          <w:szCs w:val="32"/>
          <w14:ligatures w14:val="none"/>
        </w:rPr>
        <w:t xml:space="preserve"> and the Académie Ranson, he returned to Skopje with a pictorial vocabulary capable of absorbing post-Cubism, French and German Expressionism, and the atmosphere of Montparnasse without surrendering either local subject matter or Macedonian visual memory. That is why official and scholarly sources alike return to the word “founder.” Not because he was simply early, but because he achieved a durable synthesis: medieval Macedonian pictorial memory, the social and ethnic textures of Skopje and </w:t>
      </w:r>
      <w:proofErr w:type="spellStart"/>
      <w:r w:rsidRPr="00EF22A1">
        <w:rPr>
          <w:rFonts w:ascii="Times New Roman" w:eastAsia="Times New Roman" w:hAnsi="Times New Roman" w:cs="Times New Roman"/>
          <w:kern w:val="0"/>
          <w:sz w:val="32"/>
          <w:szCs w:val="32"/>
          <w14:ligatures w14:val="none"/>
        </w:rPr>
        <w:t>Kruševo</w:t>
      </w:r>
      <w:proofErr w:type="spellEnd"/>
      <w:r w:rsidRPr="00EF22A1">
        <w:rPr>
          <w:rFonts w:ascii="Times New Roman" w:eastAsia="Times New Roman" w:hAnsi="Times New Roman" w:cs="Times New Roman"/>
          <w:kern w:val="0"/>
          <w:sz w:val="32"/>
          <w:szCs w:val="32"/>
          <w14:ligatures w14:val="none"/>
        </w:rPr>
        <w:t>, and the formal liberties of European modernism.</w:t>
      </w:r>
    </w:p>
    <w:p w14:paraId="12CDBB26" w14:textId="77777777" w:rsidR="00EF22A1" w:rsidRPr="00EF22A1" w:rsidRDefault="00EF22A1" w:rsidP="00EF22A1">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EF22A1">
        <w:rPr>
          <w:rFonts w:ascii="Times New Roman" w:eastAsia="Times New Roman" w:hAnsi="Times New Roman" w:cs="Times New Roman"/>
          <w:kern w:val="0"/>
          <w:sz w:val="32"/>
          <w:szCs w:val="32"/>
          <w14:ligatures w14:val="none"/>
        </w:rPr>
        <w:t xml:space="preserve">He painted mothers with children, half-length women, café interiors, beggars, brides, portraits, nudes, still </w:t>
      </w:r>
      <w:proofErr w:type="spellStart"/>
      <w:r w:rsidRPr="00EF22A1">
        <w:rPr>
          <w:rFonts w:ascii="Times New Roman" w:eastAsia="Times New Roman" w:hAnsi="Times New Roman" w:cs="Times New Roman"/>
          <w:kern w:val="0"/>
          <w:sz w:val="32"/>
          <w:szCs w:val="32"/>
          <w14:ligatures w14:val="none"/>
        </w:rPr>
        <w:t>lifes</w:t>
      </w:r>
      <w:proofErr w:type="spellEnd"/>
      <w:r w:rsidRPr="00EF22A1">
        <w:rPr>
          <w:rFonts w:ascii="Times New Roman" w:eastAsia="Times New Roman" w:hAnsi="Times New Roman" w:cs="Times New Roman"/>
          <w:kern w:val="0"/>
          <w:sz w:val="32"/>
          <w:szCs w:val="32"/>
          <w14:ligatures w14:val="none"/>
        </w:rPr>
        <w:t xml:space="preserve">, partisan subjects, and the catastrophe of the 1963 Skopje earthquake. Across all of it, the human figure remained his testing ground. Even when the palette flared or the line turned angular, the body carried psychological pressure, dignity, fatigue, eros, and social fact. In </w:t>
      </w:r>
      <w:proofErr w:type="spellStart"/>
      <w:r w:rsidRPr="00EF22A1">
        <w:rPr>
          <w:rFonts w:ascii="Times New Roman" w:eastAsia="Times New Roman" w:hAnsi="Times New Roman" w:cs="Times New Roman"/>
          <w:kern w:val="0"/>
          <w:sz w:val="32"/>
          <w:szCs w:val="32"/>
          <w14:ligatures w14:val="none"/>
        </w:rPr>
        <w:t>Martinoski</w:t>
      </w:r>
      <w:proofErr w:type="spellEnd"/>
      <w:r w:rsidRPr="00EF22A1">
        <w:rPr>
          <w:rFonts w:ascii="Times New Roman" w:eastAsia="Times New Roman" w:hAnsi="Times New Roman" w:cs="Times New Roman"/>
          <w:kern w:val="0"/>
          <w:sz w:val="32"/>
          <w:szCs w:val="32"/>
          <w14:ligatures w14:val="none"/>
        </w:rPr>
        <w:t>, the body does not merely occupy the canvas; it bears the weight of a century.</w:t>
      </w:r>
    </w:p>
    <w:p w14:paraId="79916EF4" w14:textId="77777777" w:rsidR="00EF22A1" w:rsidRPr="00EF22A1" w:rsidRDefault="00EF22A1" w:rsidP="00EF22A1">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EF22A1">
        <w:rPr>
          <w:rFonts w:ascii="Times New Roman" w:eastAsia="Times New Roman" w:hAnsi="Times New Roman" w:cs="Times New Roman"/>
          <w:kern w:val="0"/>
          <w:sz w:val="32"/>
          <w:szCs w:val="32"/>
          <w14:ligatures w14:val="none"/>
        </w:rPr>
        <w:lastRenderedPageBreak/>
        <w:t xml:space="preserve">The larger historical setting matters. The National Gallery’s own account of the interwar period is unusually blunt: modern Macedonian art emerged under conditions of “total negation” of Macedonian national, linguistic, and cultural identity. Artists trained in Belgrade, Sofia, and Bucharest, then refined themselves in places like Paris and Prague, were not simply importing style. They were inventing both an artistic language and the conditions under which that language might be heard. In that story, </w:t>
      </w:r>
      <w:proofErr w:type="spellStart"/>
      <w:r w:rsidRPr="00EF22A1">
        <w:rPr>
          <w:rFonts w:ascii="Times New Roman" w:eastAsia="Times New Roman" w:hAnsi="Times New Roman" w:cs="Times New Roman"/>
          <w:kern w:val="0"/>
          <w:sz w:val="32"/>
          <w:szCs w:val="32"/>
          <w14:ligatures w14:val="none"/>
        </w:rPr>
        <w:t>Martinoski</w:t>
      </w:r>
      <w:proofErr w:type="spellEnd"/>
      <w:r w:rsidRPr="00EF22A1">
        <w:rPr>
          <w:rFonts w:ascii="Times New Roman" w:eastAsia="Times New Roman" w:hAnsi="Times New Roman" w:cs="Times New Roman"/>
          <w:kern w:val="0"/>
          <w:sz w:val="32"/>
          <w:szCs w:val="32"/>
          <w14:ligatures w14:val="none"/>
        </w:rPr>
        <w:t xml:space="preserve"> is central because he turned foreign training into a local syntax rather than a borrowed accent.</w:t>
      </w:r>
    </w:p>
    <w:p w14:paraId="5B5A71C9" w14:textId="4A15B832" w:rsidR="00EF22A1" w:rsidRPr="00EF22A1" w:rsidRDefault="00EF22A1" w:rsidP="00EF22A1">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EF22A1">
        <w:rPr>
          <w:rFonts w:ascii="Times New Roman" w:eastAsia="Times New Roman" w:hAnsi="Times New Roman" w:cs="Times New Roman"/>
          <w:kern w:val="0"/>
          <w:sz w:val="32"/>
          <w:szCs w:val="32"/>
          <w14:ligatures w14:val="none"/>
        </w:rPr>
        <w:t xml:space="preserve">The apprenticeship began in turbulence. Born in </w:t>
      </w:r>
      <w:proofErr w:type="spellStart"/>
      <w:r w:rsidRPr="00EF22A1">
        <w:rPr>
          <w:rFonts w:ascii="Times New Roman" w:eastAsia="Times New Roman" w:hAnsi="Times New Roman" w:cs="Times New Roman"/>
          <w:kern w:val="0"/>
          <w:sz w:val="32"/>
          <w:szCs w:val="32"/>
          <w14:ligatures w14:val="none"/>
        </w:rPr>
        <w:t>Kruševo</w:t>
      </w:r>
      <w:proofErr w:type="spellEnd"/>
      <w:r w:rsidRPr="00EF22A1">
        <w:rPr>
          <w:rFonts w:ascii="Times New Roman" w:eastAsia="Times New Roman" w:hAnsi="Times New Roman" w:cs="Times New Roman"/>
          <w:kern w:val="0"/>
          <w:sz w:val="32"/>
          <w:szCs w:val="32"/>
          <w14:ligatures w14:val="none"/>
        </w:rPr>
        <w:t xml:space="preserve"> and moved as a child to Skopje, </w:t>
      </w:r>
      <w:proofErr w:type="spellStart"/>
      <w:r w:rsidRPr="00EF22A1">
        <w:rPr>
          <w:rFonts w:ascii="Times New Roman" w:eastAsia="Times New Roman" w:hAnsi="Times New Roman" w:cs="Times New Roman"/>
          <w:kern w:val="0"/>
          <w:sz w:val="32"/>
          <w:szCs w:val="32"/>
          <w14:ligatures w14:val="none"/>
        </w:rPr>
        <w:t>Martinoski</w:t>
      </w:r>
      <w:proofErr w:type="spellEnd"/>
      <w:r w:rsidRPr="00EF22A1">
        <w:rPr>
          <w:rFonts w:ascii="Times New Roman" w:eastAsia="Times New Roman" w:hAnsi="Times New Roman" w:cs="Times New Roman"/>
          <w:kern w:val="0"/>
          <w:sz w:val="32"/>
          <w:szCs w:val="32"/>
          <w14:ligatures w14:val="none"/>
        </w:rPr>
        <w:t xml:space="preserve"> first attended a Romanian grammar school there. Then the Balkan Wars and the First World War rearranged the educational map beneath him: he passed through </w:t>
      </w:r>
      <w:r w:rsidR="00A0063A">
        <w:rPr>
          <w:rFonts w:ascii="Times New Roman" w:eastAsia="Times New Roman" w:hAnsi="Times New Roman" w:cs="Times New Roman"/>
          <w:kern w:val="0"/>
          <w:sz w:val="32"/>
          <w:szCs w:val="32"/>
          <w14:ligatures w14:val="none"/>
        </w:rPr>
        <w:t>various</w:t>
      </w:r>
      <w:r w:rsidRPr="00EF22A1">
        <w:rPr>
          <w:rFonts w:ascii="Times New Roman" w:eastAsia="Times New Roman" w:hAnsi="Times New Roman" w:cs="Times New Roman"/>
          <w:kern w:val="0"/>
          <w:sz w:val="32"/>
          <w:szCs w:val="32"/>
          <w14:ligatures w14:val="none"/>
        </w:rPr>
        <w:t xml:space="preserve"> school settings before continuing in a Serbian high school in Skopje. By 1919 he was working, together with </w:t>
      </w:r>
      <w:proofErr w:type="spellStart"/>
      <w:r w:rsidRPr="00EF22A1">
        <w:rPr>
          <w:rFonts w:ascii="Times New Roman" w:eastAsia="Times New Roman" w:hAnsi="Times New Roman" w:cs="Times New Roman"/>
          <w:kern w:val="0"/>
          <w:sz w:val="32"/>
          <w:szCs w:val="32"/>
          <w14:ligatures w14:val="none"/>
        </w:rPr>
        <w:t>Tomo</w:t>
      </w:r>
      <w:proofErr w:type="spellEnd"/>
      <w:r w:rsidRPr="00EF22A1">
        <w:rPr>
          <w:rFonts w:ascii="Times New Roman" w:eastAsia="Times New Roman" w:hAnsi="Times New Roman" w:cs="Times New Roman"/>
          <w:kern w:val="0"/>
          <w:sz w:val="32"/>
          <w:szCs w:val="32"/>
          <w14:ligatures w14:val="none"/>
        </w:rPr>
        <w:t xml:space="preserve"> Vladimirski, in the workshop of the last Macedonian icon painter, Dimitar Andonov Papradishki. One institutional catalog </w:t>
      </w:r>
      <w:proofErr w:type="gramStart"/>
      <w:r w:rsidRPr="00EF22A1">
        <w:rPr>
          <w:rFonts w:ascii="Times New Roman" w:eastAsia="Times New Roman" w:hAnsi="Times New Roman" w:cs="Times New Roman"/>
          <w:kern w:val="0"/>
          <w:sz w:val="32"/>
          <w:szCs w:val="32"/>
          <w14:ligatures w14:val="none"/>
        </w:rPr>
        <w:t>notes</w:t>
      </w:r>
      <w:proofErr w:type="gramEnd"/>
      <w:r w:rsidRPr="00EF22A1">
        <w:rPr>
          <w:rFonts w:ascii="Times New Roman" w:eastAsia="Times New Roman" w:hAnsi="Times New Roman" w:cs="Times New Roman"/>
          <w:kern w:val="0"/>
          <w:sz w:val="32"/>
          <w:szCs w:val="32"/>
          <w14:ligatures w14:val="none"/>
        </w:rPr>
        <w:t xml:space="preserve"> that as late as 1920 he was still producing apprentice works after colored postcards. This is not a trivial detail. The modernism that came later never fully erased the training that came first. Something of the icon remained in him: the frontal gravity, the economy of line, the strange stillness that can make a figure seem at once ordinary and ceremonial.</w:t>
      </w:r>
    </w:p>
    <w:p w14:paraId="37CC227B" w14:textId="77777777" w:rsidR="00EF22A1" w:rsidRPr="00EF22A1" w:rsidRDefault="00EF22A1" w:rsidP="00EF22A1">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EF22A1">
        <w:rPr>
          <w:rFonts w:ascii="Times New Roman" w:eastAsia="Times New Roman" w:hAnsi="Times New Roman" w:cs="Times New Roman"/>
          <w:kern w:val="0"/>
          <w:sz w:val="32"/>
          <w:szCs w:val="32"/>
          <w14:ligatures w14:val="none"/>
        </w:rPr>
        <w:t xml:space="preserve">Bucharest gave that early aptitude a structure. At the School of Fine Arts, where he studied from 1920 to 1927, </w:t>
      </w:r>
      <w:proofErr w:type="spellStart"/>
      <w:r w:rsidRPr="00EF22A1">
        <w:rPr>
          <w:rFonts w:ascii="Times New Roman" w:eastAsia="Times New Roman" w:hAnsi="Times New Roman" w:cs="Times New Roman"/>
          <w:kern w:val="0"/>
          <w:sz w:val="32"/>
          <w:szCs w:val="32"/>
          <w14:ligatures w14:val="none"/>
        </w:rPr>
        <w:t>Martinoski</w:t>
      </w:r>
      <w:proofErr w:type="spellEnd"/>
      <w:r w:rsidRPr="00EF22A1">
        <w:rPr>
          <w:rFonts w:ascii="Times New Roman" w:eastAsia="Times New Roman" w:hAnsi="Times New Roman" w:cs="Times New Roman"/>
          <w:kern w:val="0"/>
          <w:sz w:val="32"/>
          <w:szCs w:val="32"/>
          <w14:ligatures w14:val="none"/>
        </w:rPr>
        <w:t xml:space="preserve"> received what a later museum catalog called his first wholly professional education. The National Gallery’s 2013 jubilee catalog adds a striking detail: he graduated as the best student of his year. Bucharest, in the official and scholarly record, was no academic cul-de-sac. It was a place where Romanian art had already been touched by expressionist tendencies, and where </w:t>
      </w:r>
      <w:proofErr w:type="spellStart"/>
      <w:r w:rsidRPr="00EF22A1">
        <w:rPr>
          <w:rFonts w:ascii="Times New Roman" w:eastAsia="Times New Roman" w:hAnsi="Times New Roman" w:cs="Times New Roman"/>
          <w:kern w:val="0"/>
          <w:sz w:val="32"/>
          <w:szCs w:val="32"/>
          <w14:ligatures w14:val="none"/>
        </w:rPr>
        <w:t>Martinoski</w:t>
      </w:r>
      <w:proofErr w:type="spellEnd"/>
      <w:r w:rsidRPr="00EF22A1">
        <w:rPr>
          <w:rFonts w:ascii="Times New Roman" w:eastAsia="Times New Roman" w:hAnsi="Times New Roman" w:cs="Times New Roman"/>
          <w:kern w:val="0"/>
          <w:sz w:val="32"/>
          <w:szCs w:val="32"/>
          <w14:ligatures w14:val="none"/>
        </w:rPr>
        <w:t xml:space="preserve"> moved decisively beyond workshop craft into a modern, self-aware painterly discipline.</w:t>
      </w:r>
    </w:p>
    <w:p w14:paraId="2D53A931" w14:textId="57BA0719" w:rsidR="00EF22A1" w:rsidRPr="00EF22A1" w:rsidRDefault="00EF22A1" w:rsidP="00EF22A1">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EF22A1">
        <w:rPr>
          <w:rFonts w:ascii="Times New Roman" w:eastAsia="Times New Roman" w:hAnsi="Times New Roman" w:cs="Times New Roman"/>
          <w:kern w:val="0"/>
          <w:sz w:val="32"/>
          <w:szCs w:val="32"/>
          <w14:ligatures w14:val="none"/>
        </w:rPr>
        <w:lastRenderedPageBreak/>
        <w:t xml:space="preserve">Then came Paris, the turning point. Boris Petkovski’s study of the Paris period describes the stay from late 1927 to late 1928 as extraordinarily important in </w:t>
      </w:r>
      <w:proofErr w:type="spellStart"/>
      <w:r w:rsidRPr="00EF22A1">
        <w:rPr>
          <w:rFonts w:ascii="Times New Roman" w:eastAsia="Times New Roman" w:hAnsi="Times New Roman" w:cs="Times New Roman"/>
          <w:kern w:val="0"/>
          <w:sz w:val="32"/>
          <w:szCs w:val="32"/>
          <w14:ligatures w14:val="none"/>
        </w:rPr>
        <w:t>Martinoski’s</w:t>
      </w:r>
      <w:proofErr w:type="spellEnd"/>
      <w:r w:rsidRPr="00EF22A1">
        <w:rPr>
          <w:rFonts w:ascii="Times New Roman" w:eastAsia="Times New Roman" w:hAnsi="Times New Roman" w:cs="Times New Roman"/>
          <w:kern w:val="0"/>
          <w:sz w:val="32"/>
          <w:szCs w:val="32"/>
          <w14:ligatures w14:val="none"/>
        </w:rPr>
        <w:t xml:space="preserve"> life and art, and it is not hard to see why. The Académie de la Grande </w:t>
      </w:r>
      <w:proofErr w:type="spellStart"/>
      <w:r w:rsidRPr="00EF22A1">
        <w:rPr>
          <w:rFonts w:ascii="Times New Roman" w:eastAsia="Times New Roman" w:hAnsi="Times New Roman" w:cs="Times New Roman"/>
          <w:kern w:val="0"/>
          <w:sz w:val="32"/>
          <w:szCs w:val="32"/>
          <w14:ligatures w14:val="none"/>
        </w:rPr>
        <w:t>Chaumière</w:t>
      </w:r>
      <w:proofErr w:type="spellEnd"/>
      <w:r w:rsidRPr="00EF22A1">
        <w:rPr>
          <w:rFonts w:ascii="Times New Roman" w:eastAsia="Times New Roman" w:hAnsi="Times New Roman" w:cs="Times New Roman"/>
          <w:kern w:val="0"/>
          <w:sz w:val="32"/>
          <w:szCs w:val="32"/>
          <w14:ligatures w14:val="none"/>
        </w:rPr>
        <w:t xml:space="preserve">, in Montparnasse, stood for open drawing and painting workshops, independent art, and freedom from academic constraint. The Académie Ranson offered another corridor into the living arguments of European modernism. By the time </w:t>
      </w:r>
      <w:proofErr w:type="spellStart"/>
      <w:r w:rsidRPr="00EF22A1">
        <w:rPr>
          <w:rFonts w:ascii="Times New Roman" w:eastAsia="Times New Roman" w:hAnsi="Times New Roman" w:cs="Times New Roman"/>
          <w:kern w:val="0"/>
          <w:sz w:val="32"/>
          <w:szCs w:val="32"/>
          <w14:ligatures w14:val="none"/>
        </w:rPr>
        <w:t>Martinoski</w:t>
      </w:r>
      <w:proofErr w:type="spellEnd"/>
      <w:r w:rsidRPr="00EF22A1">
        <w:rPr>
          <w:rFonts w:ascii="Times New Roman" w:eastAsia="Times New Roman" w:hAnsi="Times New Roman" w:cs="Times New Roman"/>
          <w:kern w:val="0"/>
          <w:sz w:val="32"/>
          <w:szCs w:val="32"/>
          <w14:ligatures w14:val="none"/>
        </w:rPr>
        <w:t xml:space="preserve"> left, he had encountered not only the School of Paris, but the pressure fields around French and German Expressionism. A piece of advice associated with Roger Bissière and preserved in the 2013 National Gallery catalog reads like a private motto for the career: remain true to yourself; remain </w:t>
      </w:r>
      <w:r w:rsidR="00430CFF">
        <w:rPr>
          <w:rFonts w:ascii="Times New Roman" w:eastAsia="Times New Roman" w:hAnsi="Times New Roman" w:cs="Times New Roman"/>
          <w:kern w:val="0"/>
          <w:sz w:val="32"/>
          <w:szCs w:val="32"/>
          <w14:ligatures w14:val="none"/>
        </w:rPr>
        <w:t>Macedonian</w:t>
      </w:r>
      <w:r w:rsidRPr="00EF22A1">
        <w:rPr>
          <w:rFonts w:ascii="Times New Roman" w:eastAsia="Times New Roman" w:hAnsi="Times New Roman" w:cs="Times New Roman"/>
          <w:kern w:val="0"/>
          <w:sz w:val="32"/>
          <w:szCs w:val="32"/>
          <w14:ligatures w14:val="none"/>
        </w:rPr>
        <w:t>. The paradox is perfect. Paris modernized him. It did not estrange him.</w:t>
      </w:r>
    </w:p>
    <w:p w14:paraId="7D8E94D7" w14:textId="77777777" w:rsidR="00EF22A1" w:rsidRPr="00EF22A1" w:rsidRDefault="00EF22A1" w:rsidP="00EF22A1">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EF22A1">
        <w:rPr>
          <w:rFonts w:ascii="Times New Roman" w:eastAsia="Times New Roman" w:hAnsi="Times New Roman" w:cs="Times New Roman"/>
          <w:kern w:val="0"/>
          <w:sz w:val="32"/>
          <w:szCs w:val="32"/>
          <w14:ligatures w14:val="none"/>
        </w:rPr>
        <w:t xml:space="preserve">When he returned to Skopje at the end of 1928, he returned not to some cultivated bohemia but to a provincial capital of the Vardar </w:t>
      </w:r>
      <w:proofErr w:type="spellStart"/>
      <w:r w:rsidRPr="00EF22A1">
        <w:rPr>
          <w:rFonts w:ascii="Times New Roman" w:eastAsia="Times New Roman" w:hAnsi="Times New Roman" w:cs="Times New Roman"/>
          <w:kern w:val="0"/>
          <w:sz w:val="32"/>
          <w:szCs w:val="32"/>
          <w14:ligatures w14:val="none"/>
        </w:rPr>
        <w:t>Banate</w:t>
      </w:r>
      <w:proofErr w:type="spellEnd"/>
      <w:r w:rsidRPr="00EF22A1">
        <w:rPr>
          <w:rFonts w:ascii="Times New Roman" w:eastAsia="Times New Roman" w:hAnsi="Times New Roman" w:cs="Times New Roman"/>
          <w:kern w:val="0"/>
          <w:sz w:val="32"/>
          <w:szCs w:val="32"/>
          <w14:ligatures w14:val="none"/>
        </w:rPr>
        <w:t xml:space="preserve">. His first solo exhibition opened there in 1929. The years from 1929 to 1932 are now described as an expressionist phase of exceptional importance, and the phrase earns its keep. A 2009 museum catalog identifies early-thirties works centered on café life and prostitution, and notes the way </w:t>
      </w:r>
      <w:proofErr w:type="spellStart"/>
      <w:r w:rsidRPr="00EF22A1">
        <w:rPr>
          <w:rFonts w:ascii="Times New Roman" w:eastAsia="Times New Roman" w:hAnsi="Times New Roman" w:cs="Times New Roman"/>
          <w:kern w:val="0"/>
          <w:sz w:val="32"/>
          <w:szCs w:val="32"/>
          <w14:ligatures w14:val="none"/>
        </w:rPr>
        <w:t>Martinoski</w:t>
      </w:r>
      <w:proofErr w:type="spellEnd"/>
      <w:r w:rsidRPr="00EF22A1">
        <w:rPr>
          <w:rFonts w:ascii="Times New Roman" w:eastAsia="Times New Roman" w:hAnsi="Times New Roman" w:cs="Times New Roman"/>
          <w:kern w:val="0"/>
          <w:sz w:val="32"/>
          <w:szCs w:val="32"/>
          <w14:ligatures w14:val="none"/>
        </w:rPr>
        <w:t xml:space="preserve"> deformed, even caricatured, figures </w:t>
      </w:r>
      <w:proofErr w:type="gramStart"/>
      <w:r w:rsidRPr="00EF22A1">
        <w:rPr>
          <w:rFonts w:ascii="Times New Roman" w:eastAsia="Times New Roman" w:hAnsi="Times New Roman" w:cs="Times New Roman"/>
          <w:kern w:val="0"/>
          <w:sz w:val="32"/>
          <w:szCs w:val="32"/>
          <w14:ligatures w14:val="none"/>
        </w:rPr>
        <w:t>in order to</w:t>
      </w:r>
      <w:proofErr w:type="gramEnd"/>
      <w:r w:rsidRPr="00EF22A1">
        <w:rPr>
          <w:rFonts w:ascii="Times New Roman" w:eastAsia="Times New Roman" w:hAnsi="Times New Roman" w:cs="Times New Roman"/>
          <w:kern w:val="0"/>
          <w:sz w:val="32"/>
          <w:szCs w:val="32"/>
          <w14:ligatures w14:val="none"/>
        </w:rPr>
        <w:t xml:space="preserve"> heighten the brutality of the motif. In these pictures, bodies can appear cylindrical or broken; forms are cubistically stressed; physiognomies stretch and sharpen. The point is not decoration. The point is pressure. Modernism becomes, in his hands, a means of moral intensification.</w:t>
      </w:r>
    </w:p>
    <w:p w14:paraId="61F0E65A" w14:textId="77777777" w:rsidR="00EF22A1" w:rsidRPr="00EF22A1" w:rsidRDefault="00EF22A1" w:rsidP="00EF22A1">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EF22A1">
        <w:rPr>
          <w:rFonts w:ascii="Times New Roman" w:eastAsia="Times New Roman" w:hAnsi="Times New Roman" w:cs="Times New Roman"/>
          <w:kern w:val="0"/>
          <w:sz w:val="32"/>
          <w:szCs w:val="32"/>
          <w14:ligatures w14:val="none"/>
        </w:rPr>
        <w:t xml:space="preserve">By the mid-nineteen-thirties, the pitch changes without falling back into academic calm. The National Gallery’s 2013 essay argues that </w:t>
      </w:r>
      <w:proofErr w:type="spellStart"/>
      <w:r w:rsidRPr="00EF22A1">
        <w:rPr>
          <w:rFonts w:ascii="Times New Roman" w:eastAsia="Times New Roman" w:hAnsi="Times New Roman" w:cs="Times New Roman"/>
          <w:kern w:val="0"/>
          <w:sz w:val="32"/>
          <w:szCs w:val="32"/>
          <w14:ligatures w14:val="none"/>
        </w:rPr>
        <w:t>Martinoski’s</w:t>
      </w:r>
      <w:proofErr w:type="spellEnd"/>
      <w:r w:rsidRPr="00EF22A1">
        <w:rPr>
          <w:rFonts w:ascii="Times New Roman" w:eastAsia="Times New Roman" w:hAnsi="Times New Roman" w:cs="Times New Roman"/>
          <w:kern w:val="0"/>
          <w:sz w:val="32"/>
          <w:szCs w:val="32"/>
          <w14:ligatures w14:val="none"/>
        </w:rPr>
        <w:t xml:space="preserve"> artistic personality had fully matured by 1936. He continued to draw many of his models from the Roma neighborhoods of Skopje, but the work shifted toward what the catalog calls lyrical realism. Poorly dressed boys and girls, mothers and wet nurses, faces kind or melancholic, bodies quietly monumental: the effect is gentler than the early expressionist bite, but no less alert to hardship. From 1938 to 1941, that lyricism thickens into social realism. Details are sometimes </w:t>
      </w:r>
      <w:r w:rsidRPr="00EF22A1">
        <w:rPr>
          <w:rFonts w:ascii="Times New Roman" w:eastAsia="Times New Roman" w:hAnsi="Times New Roman" w:cs="Times New Roman"/>
          <w:kern w:val="0"/>
          <w:sz w:val="32"/>
          <w:szCs w:val="32"/>
          <w14:ligatures w14:val="none"/>
        </w:rPr>
        <w:lastRenderedPageBreak/>
        <w:t>overemphasized so that suffering, resignation, and the bitterness of impoverished life come forward with almost physical insistence. The recurring “Mother and Child” motif belongs here. It is not one picture but a lifelong problem: how to paint care without sentimentality, weight without heaviness, tenderness without softening the fact of deprivation.</w:t>
      </w:r>
    </w:p>
    <w:p w14:paraId="71C1FA43" w14:textId="77777777" w:rsidR="00EF22A1" w:rsidRPr="00EF22A1" w:rsidRDefault="00EF22A1" w:rsidP="00EF22A1">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EF22A1">
        <w:rPr>
          <w:rFonts w:ascii="Times New Roman" w:eastAsia="Times New Roman" w:hAnsi="Times New Roman" w:cs="Times New Roman"/>
          <w:kern w:val="0"/>
          <w:sz w:val="32"/>
          <w:szCs w:val="32"/>
          <w14:ligatures w14:val="none"/>
        </w:rPr>
        <w:t xml:space="preserve">The war years widened both his subject matter and his role in public life. In 1939 and 1940 he worked as a freelance scenographer at the Skopje theater. After the liberation, he helped found the institution remembered as the present School of Applied Arts and led it until the late nineteen-forties. He then became director of the newly established Art Gallery in Skopje, though official institutional sources differ on the precise date of that transition, with one account implying 1948 and another placing it in 1949 after his work at the school. He served several times as president of DLUM, was twice elected a national M.P. in the federal assembly of Yugoslavia, and in 1967 became a regular member of the Macedonian Academy of Sciences and Arts, MANU. </w:t>
      </w:r>
      <w:proofErr w:type="spellStart"/>
      <w:r w:rsidRPr="00EF22A1">
        <w:rPr>
          <w:rFonts w:ascii="Times New Roman" w:eastAsia="Times New Roman" w:hAnsi="Times New Roman" w:cs="Times New Roman"/>
          <w:kern w:val="0"/>
          <w:sz w:val="32"/>
          <w:szCs w:val="32"/>
          <w14:ligatures w14:val="none"/>
        </w:rPr>
        <w:t>Martinoski</w:t>
      </w:r>
      <w:proofErr w:type="spellEnd"/>
      <w:r w:rsidRPr="00EF22A1">
        <w:rPr>
          <w:rFonts w:ascii="Times New Roman" w:eastAsia="Times New Roman" w:hAnsi="Times New Roman" w:cs="Times New Roman"/>
          <w:kern w:val="0"/>
          <w:sz w:val="32"/>
          <w:szCs w:val="32"/>
          <w14:ligatures w14:val="none"/>
        </w:rPr>
        <w:t xml:space="preserve"> did not simply paint Macedonian modernism. He helped administer its conditions of possibility.</w:t>
      </w:r>
    </w:p>
    <w:p w14:paraId="39AAC7F0" w14:textId="77777777" w:rsidR="00EF22A1" w:rsidRPr="00EF22A1" w:rsidRDefault="00EF22A1" w:rsidP="00EF22A1">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EF22A1">
        <w:rPr>
          <w:rFonts w:ascii="Times New Roman" w:eastAsia="Times New Roman" w:hAnsi="Times New Roman" w:cs="Times New Roman"/>
          <w:kern w:val="0"/>
          <w:sz w:val="32"/>
          <w:szCs w:val="32"/>
          <w14:ligatures w14:val="none"/>
        </w:rPr>
        <w:t xml:space="preserve">The postwar oeuvre is full of restarts, </w:t>
      </w:r>
      <w:proofErr w:type="spellStart"/>
      <w:r w:rsidRPr="00EF22A1">
        <w:rPr>
          <w:rFonts w:ascii="Times New Roman" w:eastAsia="Times New Roman" w:hAnsi="Times New Roman" w:cs="Times New Roman"/>
          <w:kern w:val="0"/>
          <w:sz w:val="32"/>
          <w:szCs w:val="32"/>
          <w14:ligatures w14:val="none"/>
        </w:rPr>
        <w:t>rephrasings</w:t>
      </w:r>
      <w:proofErr w:type="spellEnd"/>
      <w:r w:rsidRPr="00EF22A1">
        <w:rPr>
          <w:rFonts w:ascii="Times New Roman" w:eastAsia="Times New Roman" w:hAnsi="Times New Roman" w:cs="Times New Roman"/>
          <w:kern w:val="0"/>
          <w:sz w:val="32"/>
          <w:szCs w:val="32"/>
          <w14:ligatures w14:val="none"/>
        </w:rPr>
        <w:t xml:space="preserve">, and formal wagers. </w:t>
      </w:r>
      <w:proofErr w:type="spellStart"/>
      <w:r w:rsidRPr="00EF22A1">
        <w:rPr>
          <w:rFonts w:ascii="Times New Roman" w:eastAsia="Times New Roman" w:hAnsi="Times New Roman" w:cs="Times New Roman"/>
          <w:kern w:val="0"/>
          <w:sz w:val="32"/>
          <w:szCs w:val="32"/>
          <w14:ligatures w14:val="none"/>
        </w:rPr>
        <w:t>Petkovski</w:t>
      </w:r>
      <w:proofErr w:type="spellEnd"/>
      <w:r w:rsidRPr="00EF22A1">
        <w:rPr>
          <w:rFonts w:ascii="Times New Roman" w:eastAsia="Times New Roman" w:hAnsi="Times New Roman" w:cs="Times New Roman"/>
          <w:kern w:val="0"/>
          <w:sz w:val="32"/>
          <w:szCs w:val="32"/>
          <w14:ligatures w14:val="none"/>
        </w:rPr>
        <w:t xml:space="preserve"> describes the period from 1951 to 1960 as discontinuous, a sequence of repeated attempts to recover a personal language. The description is persuasive. During the fifties, </w:t>
      </w:r>
      <w:proofErr w:type="spellStart"/>
      <w:r w:rsidRPr="00EF22A1">
        <w:rPr>
          <w:rFonts w:ascii="Times New Roman" w:eastAsia="Times New Roman" w:hAnsi="Times New Roman" w:cs="Times New Roman"/>
          <w:kern w:val="0"/>
          <w:sz w:val="32"/>
          <w:szCs w:val="32"/>
          <w14:ligatures w14:val="none"/>
        </w:rPr>
        <w:t>Martinoski</w:t>
      </w:r>
      <w:proofErr w:type="spellEnd"/>
      <w:r w:rsidRPr="00EF22A1">
        <w:rPr>
          <w:rFonts w:ascii="Times New Roman" w:eastAsia="Times New Roman" w:hAnsi="Times New Roman" w:cs="Times New Roman"/>
          <w:kern w:val="0"/>
          <w:sz w:val="32"/>
          <w:szCs w:val="32"/>
          <w14:ligatures w14:val="none"/>
        </w:rPr>
        <w:t xml:space="preserve"> became increasingly interested in new currents in world art and in the modernization of Macedonian art. In drawings from roughly 1952 to 1954, philosophical, moral, and social concerns are translated into a modern idiom that fuses prewar expressionist inheritance with symbolism, surrealism, and Byzantine aesthetic echoes. By 1956 to 1959, scholarship notes angular constructions, deformations, cubistic expression, fantasy, and daring placements of the body in space. After 1959, curved and mannered refinements become more pronounced. What makes these phases interesting is not their neatness, but their instability. One feels an artist refusing to become merely canonical in a culture already tempted to canonize him.</w:t>
      </w:r>
    </w:p>
    <w:p w14:paraId="67C515BB" w14:textId="77777777" w:rsidR="00EF22A1" w:rsidRPr="00EF22A1" w:rsidRDefault="00EF22A1" w:rsidP="00EF22A1">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EF22A1">
        <w:rPr>
          <w:rFonts w:ascii="Times New Roman" w:eastAsia="Times New Roman" w:hAnsi="Times New Roman" w:cs="Times New Roman"/>
          <w:kern w:val="0"/>
          <w:sz w:val="32"/>
          <w:szCs w:val="32"/>
          <w14:ligatures w14:val="none"/>
        </w:rPr>
        <w:lastRenderedPageBreak/>
        <w:t xml:space="preserve">Technique helps explain the persistence. Official sources describe a corpus running into the thousands: paintings, drawings, murals, illustrations, and theater </w:t>
      </w:r>
      <w:proofErr w:type="spellStart"/>
      <w:r w:rsidRPr="00EF22A1">
        <w:rPr>
          <w:rFonts w:ascii="Times New Roman" w:eastAsia="Times New Roman" w:hAnsi="Times New Roman" w:cs="Times New Roman"/>
          <w:kern w:val="0"/>
          <w:sz w:val="32"/>
          <w:szCs w:val="32"/>
          <w14:ligatures w14:val="none"/>
        </w:rPr>
        <w:t>scenographies</w:t>
      </w:r>
      <w:proofErr w:type="spellEnd"/>
      <w:r w:rsidRPr="00EF22A1">
        <w:rPr>
          <w:rFonts w:ascii="Times New Roman" w:eastAsia="Times New Roman" w:hAnsi="Times New Roman" w:cs="Times New Roman"/>
          <w:kern w:val="0"/>
          <w:sz w:val="32"/>
          <w:szCs w:val="32"/>
          <w14:ligatures w14:val="none"/>
        </w:rPr>
        <w:t xml:space="preserve">. He worked in oil on canvas, oil on cardboard, tempera on paper, pencil and chalk, oil on glass, and larger mural or scenic formats. Blaze Koneski, in the 2013 jubilee catalog, remembered the intensity with which </w:t>
      </w:r>
      <w:proofErr w:type="spellStart"/>
      <w:r w:rsidRPr="00EF22A1">
        <w:rPr>
          <w:rFonts w:ascii="Times New Roman" w:eastAsia="Times New Roman" w:hAnsi="Times New Roman" w:cs="Times New Roman"/>
          <w:kern w:val="0"/>
          <w:sz w:val="32"/>
          <w:szCs w:val="32"/>
          <w14:ligatures w14:val="none"/>
        </w:rPr>
        <w:t>Martinoski</w:t>
      </w:r>
      <w:proofErr w:type="spellEnd"/>
      <w:r w:rsidRPr="00EF22A1">
        <w:rPr>
          <w:rFonts w:ascii="Times New Roman" w:eastAsia="Times New Roman" w:hAnsi="Times New Roman" w:cs="Times New Roman"/>
          <w:kern w:val="0"/>
          <w:sz w:val="32"/>
          <w:szCs w:val="32"/>
          <w14:ligatures w14:val="none"/>
        </w:rPr>
        <w:t xml:space="preserve"> could study a model, as though the brush were moving from stored knowledge and instinct as much as from immediate sight. The remark feels right, because in </w:t>
      </w:r>
      <w:proofErr w:type="spellStart"/>
      <w:r w:rsidRPr="00EF22A1">
        <w:rPr>
          <w:rFonts w:ascii="Times New Roman" w:eastAsia="Times New Roman" w:hAnsi="Times New Roman" w:cs="Times New Roman"/>
          <w:kern w:val="0"/>
          <w:sz w:val="32"/>
          <w:szCs w:val="32"/>
          <w14:ligatures w14:val="none"/>
        </w:rPr>
        <w:t>Martinoski</w:t>
      </w:r>
      <w:proofErr w:type="spellEnd"/>
      <w:r w:rsidRPr="00EF22A1">
        <w:rPr>
          <w:rFonts w:ascii="Times New Roman" w:eastAsia="Times New Roman" w:hAnsi="Times New Roman" w:cs="Times New Roman"/>
          <w:kern w:val="0"/>
          <w:sz w:val="32"/>
          <w:szCs w:val="32"/>
          <w14:ligatures w14:val="none"/>
        </w:rPr>
        <w:t xml:space="preserve"> drawing is never simply preliminary. His line thinks. The contour is the place where form begins to feel.</w:t>
      </w:r>
    </w:p>
    <w:p w14:paraId="0EDF9515" w14:textId="77777777" w:rsidR="00EF22A1" w:rsidRPr="00EF22A1" w:rsidRDefault="00EF22A1" w:rsidP="00EF22A1">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EF22A1">
        <w:rPr>
          <w:rFonts w:ascii="Times New Roman" w:eastAsia="Times New Roman" w:hAnsi="Times New Roman" w:cs="Times New Roman"/>
          <w:kern w:val="0"/>
          <w:sz w:val="32"/>
          <w:szCs w:val="32"/>
          <w14:ligatures w14:val="none"/>
        </w:rPr>
        <w:t xml:space="preserve">That is especially clear in the motifs to which he returned. Motherhood, in </w:t>
      </w:r>
      <w:proofErr w:type="spellStart"/>
      <w:r w:rsidRPr="00EF22A1">
        <w:rPr>
          <w:rFonts w:ascii="Times New Roman" w:eastAsia="Times New Roman" w:hAnsi="Times New Roman" w:cs="Times New Roman"/>
          <w:kern w:val="0"/>
          <w:sz w:val="32"/>
          <w:szCs w:val="32"/>
          <w14:ligatures w14:val="none"/>
        </w:rPr>
        <w:t>Martinoski</w:t>
      </w:r>
      <w:proofErr w:type="spellEnd"/>
      <w:r w:rsidRPr="00EF22A1">
        <w:rPr>
          <w:rFonts w:ascii="Times New Roman" w:eastAsia="Times New Roman" w:hAnsi="Times New Roman" w:cs="Times New Roman"/>
          <w:kern w:val="0"/>
          <w:sz w:val="32"/>
          <w:szCs w:val="32"/>
          <w14:ligatures w14:val="none"/>
        </w:rPr>
        <w:t>, is rarely sentimental. His mothers are firmly built, dignified, often arranged in pyramidal compositions. Their faces may be rendered with deliberate realism while the hands and surrounding forms loosen into more elastic handling. Wedding scenes and “</w:t>
      </w:r>
      <w:proofErr w:type="spellStart"/>
      <w:r w:rsidRPr="00EF22A1">
        <w:rPr>
          <w:rFonts w:ascii="Times New Roman" w:eastAsia="Times New Roman" w:hAnsi="Times New Roman" w:cs="Times New Roman"/>
          <w:kern w:val="0"/>
          <w:sz w:val="32"/>
          <w:szCs w:val="32"/>
          <w14:ligatures w14:val="none"/>
        </w:rPr>
        <w:t>Kruševo</w:t>
      </w:r>
      <w:proofErr w:type="spellEnd"/>
      <w:r w:rsidRPr="00EF22A1">
        <w:rPr>
          <w:rFonts w:ascii="Times New Roman" w:eastAsia="Times New Roman" w:hAnsi="Times New Roman" w:cs="Times New Roman"/>
          <w:kern w:val="0"/>
          <w:sz w:val="32"/>
          <w:szCs w:val="32"/>
          <w14:ligatures w14:val="none"/>
        </w:rPr>
        <w:t xml:space="preserve"> </w:t>
      </w:r>
      <w:proofErr w:type="spellStart"/>
      <w:r w:rsidRPr="00EF22A1">
        <w:rPr>
          <w:rFonts w:ascii="Times New Roman" w:eastAsia="Times New Roman" w:hAnsi="Times New Roman" w:cs="Times New Roman"/>
          <w:kern w:val="0"/>
          <w:sz w:val="32"/>
          <w:szCs w:val="32"/>
          <w14:ligatures w14:val="none"/>
        </w:rPr>
        <w:t>ambients</w:t>
      </w:r>
      <w:proofErr w:type="spellEnd"/>
      <w:r w:rsidRPr="00EF22A1">
        <w:rPr>
          <w:rFonts w:ascii="Times New Roman" w:eastAsia="Times New Roman" w:hAnsi="Times New Roman" w:cs="Times New Roman"/>
          <w:kern w:val="0"/>
          <w:sz w:val="32"/>
          <w:szCs w:val="32"/>
          <w14:ligatures w14:val="none"/>
        </w:rPr>
        <w:t xml:space="preserve">” offered another theater altogether: group compositions full of costume, furniture, custom, and local architecture, animated now by irony, now by affectionate caricature. Still </w:t>
      </w:r>
      <w:proofErr w:type="spellStart"/>
      <w:r w:rsidRPr="00EF22A1">
        <w:rPr>
          <w:rFonts w:ascii="Times New Roman" w:eastAsia="Times New Roman" w:hAnsi="Times New Roman" w:cs="Times New Roman"/>
          <w:kern w:val="0"/>
          <w:sz w:val="32"/>
          <w:szCs w:val="32"/>
          <w14:ligatures w14:val="none"/>
        </w:rPr>
        <w:t>lifes</w:t>
      </w:r>
      <w:proofErr w:type="spellEnd"/>
      <w:r w:rsidRPr="00EF22A1">
        <w:rPr>
          <w:rFonts w:ascii="Times New Roman" w:eastAsia="Times New Roman" w:hAnsi="Times New Roman" w:cs="Times New Roman"/>
          <w:kern w:val="0"/>
          <w:sz w:val="32"/>
          <w:szCs w:val="32"/>
          <w14:ligatures w14:val="none"/>
        </w:rPr>
        <w:t>—flowers, fish, game—gave him a testing ground for color saturation and, at times, a fauvist or expressionist treatment of objects. Then the 1963 earthquake forced him into a different register altogether. In the earthquake cycle, line trembles, figuration disperses, and urban catastrophe is translated into pictures that can be poeticized, charged with pathos, or openly dramatic.</w:t>
      </w:r>
    </w:p>
    <w:p w14:paraId="3266FA8E" w14:textId="77777777" w:rsidR="00EF22A1" w:rsidRPr="00EF22A1" w:rsidRDefault="00EF22A1" w:rsidP="00EF22A1">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EF22A1">
        <w:rPr>
          <w:rFonts w:ascii="Times New Roman" w:eastAsia="Times New Roman" w:hAnsi="Times New Roman" w:cs="Times New Roman"/>
          <w:kern w:val="0"/>
          <w:sz w:val="32"/>
          <w:szCs w:val="32"/>
          <w14:ligatures w14:val="none"/>
        </w:rPr>
        <w:t xml:space="preserve">Among his peers, the comparison that most clarifies him is also the one that most risks flattening him. Like Lazar Ličenoski, </w:t>
      </w:r>
      <w:proofErr w:type="spellStart"/>
      <w:r w:rsidRPr="00EF22A1">
        <w:rPr>
          <w:rFonts w:ascii="Times New Roman" w:eastAsia="Times New Roman" w:hAnsi="Times New Roman" w:cs="Times New Roman"/>
          <w:kern w:val="0"/>
          <w:sz w:val="32"/>
          <w:szCs w:val="32"/>
          <w14:ligatures w14:val="none"/>
        </w:rPr>
        <w:t>Martinoski</w:t>
      </w:r>
      <w:proofErr w:type="spellEnd"/>
      <w:r w:rsidRPr="00EF22A1">
        <w:rPr>
          <w:rFonts w:ascii="Times New Roman" w:eastAsia="Times New Roman" w:hAnsi="Times New Roman" w:cs="Times New Roman"/>
          <w:kern w:val="0"/>
          <w:sz w:val="32"/>
          <w:szCs w:val="32"/>
          <w14:ligatures w14:val="none"/>
        </w:rPr>
        <w:t xml:space="preserve"> belonged to the first generation of contemporary Macedonian artists, absorbed Parisian training, and maintained a strong relation to medieval and local visual traditions. But the difference in temperament matters. Institutional texts on </w:t>
      </w:r>
      <w:proofErr w:type="spellStart"/>
      <w:r w:rsidRPr="00EF22A1">
        <w:rPr>
          <w:rFonts w:ascii="Times New Roman" w:eastAsia="Times New Roman" w:hAnsi="Times New Roman" w:cs="Times New Roman"/>
          <w:kern w:val="0"/>
          <w:sz w:val="32"/>
          <w:szCs w:val="32"/>
          <w14:ligatures w14:val="none"/>
        </w:rPr>
        <w:t>Ličenoski</w:t>
      </w:r>
      <w:proofErr w:type="spellEnd"/>
      <w:r w:rsidRPr="00EF22A1">
        <w:rPr>
          <w:rFonts w:ascii="Times New Roman" w:eastAsia="Times New Roman" w:hAnsi="Times New Roman" w:cs="Times New Roman"/>
          <w:kern w:val="0"/>
          <w:sz w:val="32"/>
          <w:szCs w:val="32"/>
          <w14:ligatures w14:val="none"/>
        </w:rPr>
        <w:t xml:space="preserve"> stress color expressionism, post-Cubist construction, and painterly chromatic force as signature elements. </w:t>
      </w:r>
      <w:proofErr w:type="spellStart"/>
      <w:r w:rsidRPr="00EF22A1">
        <w:rPr>
          <w:rFonts w:ascii="Times New Roman" w:eastAsia="Times New Roman" w:hAnsi="Times New Roman" w:cs="Times New Roman"/>
          <w:kern w:val="0"/>
          <w:sz w:val="32"/>
          <w:szCs w:val="32"/>
          <w14:ligatures w14:val="none"/>
        </w:rPr>
        <w:t>Martinoski’s</w:t>
      </w:r>
      <w:proofErr w:type="spellEnd"/>
      <w:r w:rsidRPr="00EF22A1">
        <w:rPr>
          <w:rFonts w:ascii="Times New Roman" w:eastAsia="Times New Roman" w:hAnsi="Times New Roman" w:cs="Times New Roman"/>
          <w:kern w:val="0"/>
          <w:sz w:val="32"/>
          <w:szCs w:val="32"/>
          <w14:ligatures w14:val="none"/>
        </w:rPr>
        <w:t xml:space="preserve"> decisive arena is different. He makes the figure, rather than color, the site of invention. If </w:t>
      </w:r>
      <w:proofErr w:type="spellStart"/>
      <w:r w:rsidRPr="00EF22A1">
        <w:rPr>
          <w:rFonts w:ascii="Times New Roman" w:eastAsia="Times New Roman" w:hAnsi="Times New Roman" w:cs="Times New Roman"/>
          <w:kern w:val="0"/>
          <w:sz w:val="32"/>
          <w:szCs w:val="32"/>
          <w14:ligatures w14:val="none"/>
        </w:rPr>
        <w:t>Ličenoski</w:t>
      </w:r>
      <w:proofErr w:type="spellEnd"/>
      <w:r w:rsidRPr="00EF22A1">
        <w:rPr>
          <w:rFonts w:ascii="Times New Roman" w:eastAsia="Times New Roman" w:hAnsi="Times New Roman" w:cs="Times New Roman"/>
          <w:kern w:val="0"/>
          <w:sz w:val="32"/>
          <w:szCs w:val="32"/>
          <w14:ligatures w14:val="none"/>
        </w:rPr>
        <w:t xml:space="preserve"> often seems to reach modernism through chromatic orchestration, </w:t>
      </w:r>
      <w:proofErr w:type="spellStart"/>
      <w:r w:rsidRPr="00EF22A1">
        <w:rPr>
          <w:rFonts w:ascii="Times New Roman" w:eastAsia="Times New Roman" w:hAnsi="Times New Roman" w:cs="Times New Roman"/>
          <w:kern w:val="0"/>
          <w:sz w:val="32"/>
          <w:szCs w:val="32"/>
          <w14:ligatures w14:val="none"/>
        </w:rPr>
        <w:t>Martinoski</w:t>
      </w:r>
      <w:proofErr w:type="spellEnd"/>
      <w:r w:rsidRPr="00EF22A1">
        <w:rPr>
          <w:rFonts w:ascii="Times New Roman" w:eastAsia="Times New Roman" w:hAnsi="Times New Roman" w:cs="Times New Roman"/>
          <w:kern w:val="0"/>
          <w:sz w:val="32"/>
          <w:szCs w:val="32"/>
          <w14:ligatures w14:val="none"/>
        </w:rPr>
        <w:t xml:space="preserve"> reaches it through </w:t>
      </w:r>
      <w:r w:rsidRPr="00EF22A1">
        <w:rPr>
          <w:rFonts w:ascii="Times New Roman" w:eastAsia="Times New Roman" w:hAnsi="Times New Roman" w:cs="Times New Roman"/>
          <w:kern w:val="0"/>
          <w:sz w:val="32"/>
          <w:szCs w:val="32"/>
          <w14:ligatures w14:val="none"/>
        </w:rPr>
        <w:lastRenderedPageBreak/>
        <w:t xml:space="preserve">psychological contour and social empathy. </w:t>
      </w:r>
      <w:proofErr w:type="spellStart"/>
      <w:r w:rsidRPr="00EF22A1">
        <w:rPr>
          <w:rFonts w:ascii="Times New Roman" w:eastAsia="Times New Roman" w:hAnsi="Times New Roman" w:cs="Times New Roman"/>
          <w:kern w:val="0"/>
          <w:sz w:val="32"/>
          <w:szCs w:val="32"/>
          <w14:ligatures w14:val="none"/>
        </w:rPr>
        <w:t>Tomo</w:t>
      </w:r>
      <w:proofErr w:type="spellEnd"/>
      <w:r w:rsidRPr="00EF22A1">
        <w:rPr>
          <w:rFonts w:ascii="Times New Roman" w:eastAsia="Times New Roman" w:hAnsi="Times New Roman" w:cs="Times New Roman"/>
          <w:kern w:val="0"/>
          <w:sz w:val="32"/>
          <w:szCs w:val="32"/>
          <w14:ligatures w14:val="none"/>
        </w:rPr>
        <w:t xml:space="preserve"> Vladimirski, in National Gallery descriptions, appears as a painter of gentle discipline and quiet artistic passion. </w:t>
      </w:r>
      <w:proofErr w:type="spellStart"/>
      <w:r w:rsidRPr="00EF22A1">
        <w:rPr>
          <w:rFonts w:ascii="Times New Roman" w:eastAsia="Times New Roman" w:hAnsi="Times New Roman" w:cs="Times New Roman"/>
          <w:kern w:val="0"/>
          <w:sz w:val="32"/>
          <w:szCs w:val="32"/>
          <w14:ligatures w14:val="none"/>
        </w:rPr>
        <w:t>Martinoski</w:t>
      </w:r>
      <w:proofErr w:type="spellEnd"/>
      <w:r w:rsidRPr="00EF22A1">
        <w:rPr>
          <w:rFonts w:ascii="Times New Roman" w:eastAsia="Times New Roman" w:hAnsi="Times New Roman" w:cs="Times New Roman"/>
          <w:kern w:val="0"/>
          <w:sz w:val="32"/>
          <w:szCs w:val="32"/>
          <w14:ligatures w14:val="none"/>
        </w:rPr>
        <w:t xml:space="preserve"> is the harsher dramatist of the first generation—more willing to bend the body, sharpen the cheekbone, agitate the picture plane, and keep feeling and social fact from settling into mere genre. The comparison is interpretive, but it follows closely from the language institutional sources themselves use.</w:t>
      </w:r>
    </w:p>
    <w:p w14:paraId="33A6EEB5" w14:textId="77777777" w:rsidR="00EF22A1" w:rsidRPr="00EF22A1" w:rsidRDefault="00EF22A1" w:rsidP="00EF22A1">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EF22A1">
        <w:rPr>
          <w:rFonts w:ascii="Times New Roman" w:eastAsia="Times New Roman" w:hAnsi="Times New Roman" w:cs="Times New Roman"/>
          <w:kern w:val="0"/>
          <w:sz w:val="32"/>
          <w:szCs w:val="32"/>
          <w14:ligatures w14:val="none"/>
        </w:rPr>
        <w:t xml:space="preserve">His role in Macedonian and Balkan modern art is therefore double. He is both painter and connective tissue. Official scholarship repeatedly casts him as the artist who linked epochs: medieval painting and modern currents, homeland and Europe, private studio and public institution. The 2013 National Gallery catalog goes so far as to call him the first modern expressionist and the founder of contemporary Macedonian fine art. It is a strong claim, but not an absurd one. His works circulated widely in Skopje, Belgrade, Zagreb, and Paris, and later at group exhibitions stretching from Prague and Sofia to Washington, New York, Mexico City, Oslo, and New Delhi. Yet he remained insistently local—not </w:t>
      </w:r>
      <w:proofErr w:type="gramStart"/>
      <w:r w:rsidRPr="00EF22A1">
        <w:rPr>
          <w:rFonts w:ascii="Times New Roman" w:eastAsia="Times New Roman" w:hAnsi="Times New Roman" w:cs="Times New Roman"/>
          <w:kern w:val="0"/>
          <w:sz w:val="32"/>
          <w:szCs w:val="32"/>
          <w14:ligatures w14:val="none"/>
        </w:rPr>
        <w:t>provincial, but</w:t>
      </w:r>
      <w:proofErr w:type="gramEnd"/>
      <w:r w:rsidRPr="00EF22A1">
        <w:rPr>
          <w:rFonts w:ascii="Times New Roman" w:eastAsia="Times New Roman" w:hAnsi="Times New Roman" w:cs="Times New Roman"/>
          <w:kern w:val="0"/>
          <w:sz w:val="32"/>
          <w:szCs w:val="32"/>
          <w14:ligatures w14:val="none"/>
        </w:rPr>
        <w:t xml:space="preserve"> located. He made Macedonian modernism legible outward without emptying it inward.</w:t>
      </w:r>
    </w:p>
    <w:p w14:paraId="2620566B" w14:textId="77777777" w:rsidR="00EF22A1" w:rsidRPr="00EF22A1" w:rsidRDefault="00EF22A1" w:rsidP="00EF22A1">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EF22A1">
        <w:rPr>
          <w:rFonts w:ascii="Times New Roman" w:eastAsia="Times New Roman" w:hAnsi="Times New Roman" w:cs="Times New Roman"/>
          <w:kern w:val="0"/>
          <w:sz w:val="32"/>
          <w:szCs w:val="32"/>
          <w14:ligatures w14:val="none"/>
        </w:rPr>
        <w:t xml:space="preserve">There is another reason the work still feels alive. Much of it was lost. The National Gallery notes that a substantial portion of </w:t>
      </w:r>
      <w:proofErr w:type="spellStart"/>
      <w:r w:rsidRPr="00EF22A1">
        <w:rPr>
          <w:rFonts w:ascii="Times New Roman" w:eastAsia="Times New Roman" w:hAnsi="Times New Roman" w:cs="Times New Roman"/>
          <w:kern w:val="0"/>
          <w:sz w:val="32"/>
          <w:szCs w:val="32"/>
          <w14:ligatures w14:val="none"/>
        </w:rPr>
        <w:t>Martinoski’s</w:t>
      </w:r>
      <w:proofErr w:type="spellEnd"/>
      <w:r w:rsidRPr="00EF22A1">
        <w:rPr>
          <w:rFonts w:ascii="Times New Roman" w:eastAsia="Times New Roman" w:hAnsi="Times New Roman" w:cs="Times New Roman"/>
          <w:kern w:val="0"/>
          <w:sz w:val="32"/>
          <w:szCs w:val="32"/>
          <w14:ligatures w14:val="none"/>
        </w:rPr>
        <w:t xml:space="preserve"> output was damaged or destroyed in the Second World War, the flood of 1962, and the catastrophic Skopje earthquake of 1963. What survives therefore carries the pressure of remainder. The surviving works in </w:t>
      </w:r>
      <w:proofErr w:type="spellStart"/>
      <w:r w:rsidRPr="00EF22A1">
        <w:rPr>
          <w:rFonts w:ascii="Times New Roman" w:eastAsia="Times New Roman" w:hAnsi="Times New Roman" w:cs="Times New Roman"/>
          <w:kern w:val="0"/>
          <w:sz w:val="32"/>
          <w:szCs w:val="32"/>
          <w14:ligatures w14:val="none"/>
        </w:rPr>
        <w:t>Kruševo</w:t>
      </w:r>
      <w:proofErr w:type="spellEnd"/>
      <w:r w:rsidRPr="00EF22A1">
        <w:rPr>
          <w:rFonts w:ascii="Times New Roman" w:eastAsia="Times New Roman" w:hAnsi="Times New Roman" w:cs="Times New Roman"/>
          <w:kern w:val="0"/>
          <w:sz w:val="32"/>
          <w:szCs w:val="32"/>
          <w14:ligatures w14:val="none"/>
        </w:rPr>
        <w:t>, Skopje, and MANU are not simply holdings. They are fragments of an interrupted whole, pieces of a still unfinished picture of Macedonian modernism’s foundational painter.</w:t>
      </w:r>
    </w:p>
    <w:p w14:paraId="41A01758" w14:textId="77777777" w:rsidR="00EF22A1" w:rsidRPr="00EF22A1" w:rsidRDefault="00EF22A1" w:rsidP="00EF22A1">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EF22A1">
        <w:rPr>
          <w:rFonts w:ascii="Times New Roman" w:eastAsia="Times New Roman" w:hAnsi="Times New Roman" w:cs="Times New Roman"/>
          <w:kern w:val="0"/>
          <w:sz w:val="32"/>
          <w:szCs w:val="32"/>
          <w14:ligatures w14:val="none"/>
        </w:rPr>
        <w:t xml:space="preserve">Even the public record has that same fractured quality. It is rich, but not seamless. Works survive in the National Gallery’s orbit, in the Museum of Contemporary Art in Skopje, the Museum of the City of Skopje, MANU, and the Nikola </w:t>
      </w:r>
      <w:proofErr w:type="spellStart"/>
      <w:r w:rsidRPr="00EF22A1">
        <w:rPr>
          <w:rFonts w:ascii="Times New Roman" w:eastAsia="Times New Roman" w:hAnsi="Times New Roman" w:cs="Times New Roman"/>
          <w:kern w:val="0"/>
          <w:sz w:val="32"/>
          <w:szCs w:val="32"/>
          <w14:ligatures w14:val="none"/>
        </w:rPr>
        <w:t>Martinoski</w:t>
      </w:r>
      <w:proofErr w:type="spellEnd"/>
      <w:r w:rsidRPr="00EF22A1">
        <w:rPr>
          <w:rFonts w:ascii="Times New Roman" w:eastAsia="Times New Roman" w:hAnsi="Times New Roman" w:cs="Times New Roman"/>
          <w:kern w:val="0"/>
          <w:sz w:val="32"/>
          <w:szCs w:val="32"/>
          <w14:ligatures w14:val="none"/>
        </w:rPr>
        <w:t xml:space="preserve"> Gallery in </w:t>
      </w:r>
      <w:proofErr w:type="spellStart"/>
      <w:r w:rsidRPr="00EF22A1">
        <w:rPr>
          <w:rFonts w:ascii="Times New Roman" w:eastAsia="Times New Roman" w:hAnsi="Times New Roman" w:cs="Times New Roman"/>
          <w:kern w:val="0"/>
          <w:sz w:val="32"/>
          <w:szCs w:val="32"/>
          <w14:ligatures w14:val="none"/>
        </w:rPr>
        <w:t>Kruševo</w:t>
      </w:r>
      <w:proofErr w:type="spellEnd"/>
      <w:r w:rsidRPr="00EF22A1">
        <w:rPr>
          <w:rFonts w:ascii="Times New Roman" w:eastAsia="Times New Roman" w:hAnsi="Times New Roman" w:cs="Times New Roman"/>
          <w:kern w:val="0"/>
          <w:sz w:val="32"/>
          <w:szCs w:val="32"/>
          <w14:ligatures w14:val="none"/>
        </w:rPr>
        <w:t xml:space="preserve">, but online holdings data remain uneven. In many cases, the most precise public </w:t>
      </w:r>
      <w:r w:rsidRPr="00EF22A1">
        <w:rPr>
          <w:rFonts w:ascii="Times New Roman" w:eastAsia="Times New Roman" w:hAnsi="Times New Roman" w:cs="Times New Roman"/>
          <w:kern w:val="0"/>
          <w:sz w:val="32"/>
          <w:szCs w:val="32"/>
          <w14:ligatures w14:val="none"/>
        </w:rPr>
        <w:lastRenderedPageBreak/>
        <w:t xml:space="preserve">record is still not a live collection database but the 2003 centenary exhibition catalog, supplemented by later institutional catalogs. The gaps matter, and the honest thing is not to smooth them over. The archive, in </w:t>
      </w:r>
      <w:proofErr w:type="spellStart"/>
      <w:r w:rsidRPr="00EF22A1">
        <w:rPr>
          <w:rFonts w:ascii="Times New Roman" w:eastAsia="Times New Roman" w:hAnsi="Times New Roman" w:cs="Times New Roman"/>
          <w:kern w:val="0"/>
          <w:sz w:val="32"/>
          <w:szCs w:val="32"/>
          <w14:ligatures w14:val="none"/>
        </w:rPr>
        <w:t>Martinoski’s</w:t>
      </w:r>
      <w:proofErr w:type="spellEnd"/>
      <w:r w:rsidRPr="00EF22A1">
        <w:rPr>
          <w:rFonts w:ascii="Times New Roman" w:eastAsia="Times New Roman" w:hAnsi="Times New Roman" w:cs="Times New Roman"/>
          <w:kern w:val="0"/>
          <w:sz w:val="32"/>
          <w:szCs w:val="32"/>
          <w14:ligatures w14:val="none"/>
        </w:rPr>
        <w:t xml:space="preserve"> case, tells the same story as the paintings: survival, fracture, reassembly.</w:t>
      </w:r>
    </w:p>
    <w:p w14:paraId="35AC67F5" w14:textId="77777777" w:rsidR="00EF22A1" w:rsidRPr="00EF22A1" w:rsidRDefault="00EF22A1" w:rsidP="00EF22A1">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EF22A1">
        <w:rPr>
          <w:rFonts w:ascii="Times New Roman" w:eastAsia="Times New Roman" w:hAnsi="Times New Roman" w:cs="Times New Roman"/>
          <w:kern w:val="0"/>
          <w:sz w:val="32"/>
          <w:szCs w:val="32"/>
          <w14:ligatures w14:val="none"/>
        </w:rPr>
        <w:t xml:space="preserve">That is one of the reasons </w:t>
      </w:r>
      <w:proofErr w:type="spellStart"/>
      <w:r w:rsidRPr="00EF22A1">
        <w:rPr>
          <w:rFonts w:ascii="Times New Roman" w:eastAsia="Times New Roman" w:hAnsi="Times New Roman" w:cs="Times New Roman"/>
          <w:kern w:val="0"/>
          <w:sz w:val="32"/>
          <w:szCs w:val="32"/>
          <w14:ligatures w14:val="none"/>
        </w:rPr>
        <w:t>Martinoski</w:t>
      </w:r>
      <w:proofErr w:type="spellEnd"/>
      <w:r w:rsidRPr="00EF22A1">
        <w:rPr>
          <w:rFonts w:ascii="Times New Roman" w:eastAsia="Times New Roman" w:hAnsi="Times New Roman" w:cs="Times New Roman"/>
          <w:kern w:val="0"/>
          <w:sz w:val="32"/>
          <w:szCs w:val="32"/>
          <w14:ligatures w14:val="none"/>
        </w:rPr>
        <w:t xml:space="preserve"> has remained more than a historical “first.” Modern scholarship keeps returning to him not to repeat the founding myth, but to complicate it. His work can still be reread through expressionism, social realism, post-Cubism, drawing practice, medieval Macedonian visual memory, gendered figuration, and the politics of institution-building. Boris Petkovski’s 1982 monograph remains the indispensable book-length study; his specialized essays on the Paris period, the drawing oeuvre of the nineteen-sixties, and </w:t>
      </w:r>
      <w:proofErr w:type="spellStart"/>
      <w:r w:rsidRPr="00EF22A1">
        <w:rPr>
          <w:rFonts w:ascii="Times New Roman" w:eastAsia="Times New Roman" w:hAnsi="Times New Roman" w:cs="Times New Roman"/>
          <w:kern w:val="0"/>
          <w:sz w:val="32"/>
          <w:szCs w:val="32"/>
          <w14:ligatures w14:val="none"/>
        </w:rPr>
        <w:t>Martinoski’s</w:t>
      </w:r>
      <w:proofErr w:type="spellEnd"/>
      <w:r w:rsidRPr="00EF22A1">
        <w:rPr>
          <w:rFonts w:ascii="Times New Roman" w:eastAsia="Times New Roman" w:hAnsi="Times New Roman" w:cs="Times New Roman"/>
          <w:kern w:val="0"/>
          <w:sz w:val="32"/>
          <w:szCs w:val="32"/>
          <w14:ligatures w14:val="none"/>
        </w:rPr>
        <w:t xml:space="preserve"> relation to German Expressionism continue to shape the field. Vladimir Velickovski’s 2003 centenary exhibition of previously unexhibited works reopened the corpus through family holdings. The National Gallery’s 2013 jubilee exhibition consolidated the canonical image. And then scholarship moved again: in 2015, Kiril </w:t>
      </w:r>
      <w:proofErr w:type="spellStart"/>
      <w:r w:rsidRPr="00EF22A1">
        <w:rPr>
          <w:rFonts w:ascii="Times New Roman" w:eastAsia="Times New Roman" w:hAnsi="Times New Roman" w:cs="Times New Roman"/>
          <w:kern w:val="0"/>
          <w:sz w:val="32"/>
          <w:szCs w:val="32"/>
          <w14:ligatures w14:val="none"/>
        </w:rPr>
        <w:t>Penushliski</w:t>
      </w:r>
      <w:proofErr w:type="spellEnd"/>
      <w:r w:rsidRPr="00EF22A1">
        <w:rPr>
          <w:rFonts w:ascii="Times New Roman" w:eastAsia="Times New Roman" w:hAnsi="Times New Roman" w:cs="Times New Roman"/>
          <w:kern w:val="0"/>
          <w:sz w:val="32"/>
          <w:szCs w:val="32"/>
          <w14:ligatures w14:val="none"/>
        </w:rPr>
        <w:t xml:space="preserve"> identified six previously unknown portrait drawings published in the Skopje daily </w:t>
      </w:r>
      <w:r w:rsidRPr="00EF22A1">
        <w:rPr>
          <w:rFonts w:ascii="Times New Roman" w:eastAsia="Times New Roman" w:hAnsi="Times New Roman" w:cs="Times New Roman"/>
          <w:i/>
          <w:iCs/>
          <w:kern w:val="0"/>
          <w:sz w:val="32"/>
          <w:szCs w:val="32"/>
          <w14:ligatures w14:val="none"/>
        </w:rPr>
        <w:t>Vardar</w:t>
      </w:r>
      <w:r w:rsidRPr="00EF22A1">
        <w:rPr>
          <w:rFonts w:ascii="Times New Roman" w:eastAsia="Times New Roman" w:hAnsi="Times New Roman" w:cs="Times New Roman"/>
          <w:kern w:val="0"/>
          <w:sz w:val="32"/>
          <w:szCs w:val="32"/>
          <w14:ligatures w14:val="none"/>
        </w:rPr>
        <w:t xml:space="preserve"> between 1933 and 1936. Even now, the oeuvre is not entirely settled in public view.</w:t>
      </w:r>
    </w:p>
    <w:p w14:paraId="321CE571" w14:textId="77777777" w:rsidR="00EF22A1" w:rsidRPr="00EF22A1" w:rsidRDefault="00EF22A1" w:rsidP="00EF22A1">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EF22A1">
        <w:rPr>
          <w:rFonts w:ascii="Times New Roman" w:eastAsia="Times New Roman" w:hAnsi="Times New Roman" w:cs="Times New Roman"/>
          <w:kern w:val="0"/>
          <w:sz w:val="32"/>
          <w:szCs w:val="32"/>
          <w14:ligatures w14:val="none"/>
        </w:rPr>
        <w:t xml:space="preserve">Perhaps that is fitting. </w:t>
      </w:r>
      <w:proofErr w:type="spellStart"/>
      <w:r w:rsidRPr="00EF22A1">
        <w:rPr>
          <w:rFonts w:ascii="Times New Roman" w:eastAsia="Times New Roman" w:hAnsi="Times New Roman" w:cs="Times New Roman"/>
          <w:kern w:val="0"/>
          <w:sz w:val="32"/>
          <w:szCs w:val="32"/>
          <w14:ligatures w14:val="none"/>
        </w:rPr>
        <w:t>Martinoski’s</w:t>
      </w:r>
      <w:proofErr w:type="spellEnd"/>
      <w:r w:rsidRPr="00EF22A1">
        <w:rPr>
          <w:rFonts w:ascii="Times New Roman" w:eastAsia="Times New Roman" w:hAnsi="Times New Roman" w:cs="Times New Roman"/>
          <w:kern w:val="0"/>
          <w:sz w:val="32"/>
          <w:szCs w:val="32"/>
          <w14:ligatures w14:val="none"/>
        </w:rPr>
        <w:t xml:space="preserve"> art is full of faces that do not quite let themselves be finished. A mother looks outward but keeps a reserve. A beggar is rendered with sympathy but not innocence. A bride carries ceremony and fatigue in the same posture. A self-portrait is never only private. An earthquake scene is at once documentary and visionary. The many faces of Nikola </w:t>
      </w:r>
      <w:proofErr w:type="spellStart"/>
      <w:r w:rsidRPr="00EF22A1">
        <w:rPr>
          <w:rFonts w:ascii="Times New Roman" w:eastAsia="Times New Roman" w:hAnsi="Times New Roman" w:cs="Times New Roman"/>
          <w:kern w:val="0"/>
          <w:sz w:val="32"/>
          <w:szCs w:val="32"/>
          <w14:ligatures w14:val="none"/>
        </w:rPr>
        <w:t>Martinoski</w:t>
      </w:r>
      <w:proofErr w:type="spellEnd"/>
      <w:r w:rsidRPr="00EF22A1">
        <w:rPr>
          <w:rFonts w:ascii="Times New Roman" w:eastAsia="Times New Roman" w:hAnsi="Times New Roman" w:cs="Times New Roman"/>
          <w:kern w:val="0"/>
          <w:sz w:val="32"/>
          <w:szCs w:val="32"/>
          <w14:ligatures w14:val="none"/>
        </w:rPr>
        <w:t xml:space="preserve"> are, finally, the many ways a modern art can be local without becoming narrow, European without becoming borrowed, canonical without becoming inert.</w:t>
      </w:r>
    </w:p>
    <w:p w14:paraId="2BEC070D" w14:textId="77777777" w:rsidR="00DA2A91" w:rsidRPr="00EF22A1" w:rsidRDefault="00DA2A91">
      <w:pPr>
        <w:rPr>
          <w:sz w:val="32"/>
          <w:szCs w:val="32"/>
        </w:rPr>
      </w:pPr>
    </w:p>
    <w:sectPr w:rsidR="00DA2A91" w:rsidRPr="00EF22A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22A1"/>
    <w:rsid w:val="0018578D"/>
    <w:rsid w:val="0024282A"/>
    <w:rsid w:val="002C6167"/>
    <w:rsid w:val="00430CFF"/>
    <w:rsid w:val="00477282"/>
    <w:rsid w:val="006A27D9"/>
    <w:rsid w:val="008360B3"/>
    <w:rsid w:val="00872C80"/>
    <w:rsid w:val="00A0063A"/>
    <w:rsid w:val="00DA2A91"/>
    <w:rsid w:val="00EF22A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92CF709"/>
  <w15:chartTrackingRefBased/>
  <w15:docId w15:val="{7E9B97F3-3825-964D-B815-BA388A4252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F22A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F22A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F22A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F22A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F22A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F22A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F22A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F22A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F22A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F22A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F22A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F22A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F22A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F22A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F22A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F22A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F22A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F22A1"/>
    <w:rPr>
      <w:rFonts w:eastAsiaTheme="majorEastAsia" w:cstheme="majorBidi"/>
      <w:color w:val="272727" w:themeColor="text1" w:themeTint="D8"/>
    </w:rPr>
  </w:style>
  <w:style w:type="paragraph" w:styleId="Title">
    <w:name w:val="Title"/>
    <w:basedOn w:val="Normal"/>
    <w:next w:val="Normal"/>
    <w:link w:val="TitleChar"/>
    <w:uiPriority w:val="10"/>
    <w:qFormat/>
    <w:rsid w:val="00EF22A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F22A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F22A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F22A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F22A1"/>
    <w:pPr>
      <w:spacing w:before="160"/>
      <w:jc w:val="center"/>
    </w:pPr>
    <w:rPr>
      <w:i/>
      <w:iCs/>
      <w:color w:val="404040" w:themeColor="text1" w:themeTint="BF"/>
    </w:rPr>
  </w:style>
  <w:style w:type="character" w:customStyle="1" w:styleId="QuoteChar">
    <w:name w:val="Quote Char"/>
    <w:basedOn w:val="DefaultParagraphFont"/>
    <w:link w:val="Quote"/>
    <w:uiPriority w:val="29"/>
    <w:rsid w:val="00EF22A1"/>
    <w:rPr>
      <w:i/>
      <w:iCs/>
      <w:color w:val="404040" w:themeColor="text1" w:themeTint="BF"/>
    </w:rPr>
  </w:style>
  <w:style w:type="paragraph" w:styleId="ListParagraph">
    <w:name w:val="List Paragraph"/>
    <w:basedOn w:val="Normal"/>
    <w:uiPriority w:val="34"/>
    <w:qFormat/>
    <w:rsid w:val="00EF22A1"/>
    <w:pPr>
      <w:ind w:left="720"/>
      <w:contextualSpacing/>
    </w:pPr>
  </w:style>
  <w:style w:type="character" w:styleId="IntenseEmphasis">
    <w:name w:val="Intense Emphasis"/>
    <w:basedOn w:val="DefaultParagraphFont"/>
    <w:uiPriority w:val="21"/>
    <w:qFormat/>
    <w:rsid w:val="00EF22A1"/>
    <w:rPr>
      <w:i/>
      <w:iCs/>
      <w:color w:val="0F4761" w:themeColor="accent1" w:themeShade="BF"/>
    </w:rPr>
  </w:style>
  <w:style w:type="paragraph" w:styleId="IntenseQuote">
    <w:name w:val="Intense Quote"/>
    <w:basedOn w:val="Normal"/>
    <w:next w:val="Normal"/>
    <w:link w:val="IntenseQuoteChar"/>
    <w:uiPriority w:val="30"/>
    <w:qFormat/>
    <w:rsid w:val="00EF22A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F22A1"/>
    <w:rPr>
      <w:i/>
      <w:iCs/>
      <w:color w:val="0F4761" w:themeColor="accent1" w:themeShade="BF"/>
    </w:rPr>
  </w:style>
  <w:style w:type="character" w:styleId="IntenseReference">
    <w:name w:val="Intense Reference"/>
    <w:basedOn w:val="DefaultParagraphFont"/>
    <w:uiPriority w:val="32"/>
    <w:qFormat/>
    <w:rsid w:val="00EF22A1"/>
    <w:rPr>
      <w:b/>
      <w:bCs/>
      <w:smallCaps/>
      <w:color w:val="0F4761" w:themeColor="accent1" w:themeShade="BF"/>
      <w:spacing w:val="5"/>
    </w:rPr>
  </w:style>
  <w:style w:type="paragraph" w:styleId="NormalWeb">
    <w:name w:val="Normal (Web)"/>
    <w:basedOn w:val="Normal"/>
    <w:uiPriority w:val="99"/>
    <w:semiHidden/>
    <w:unhideWhenUsed/>
    <w:rsid w:val="00EF22A1"/>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EF22A1"/>
    <w:rPr>
      <w:i/>
      <w:iCs/>
    </w:rPr>
  </w:style>
  <w:style w:type="character" w:styleId="Strong">
    <w:name w:val="Strong"/>
    <w:basedOn w:val="DefaultParagraphFont"/>
    <w:uiPriority w:val="22"/>
    <w:qFormat/>
    <w:rsid w:val="00EF22A1"/>
    <w:rPr>
      <w:b/>
      <w:bCs/>
    </w:rPr>
  </w:style>
  <w:style w:type="character" w:styleId="Hyperlink">
    <w:name w:val="Hyperlink"/>
    <w:basedOn w:val="DefaultParagraphFont"/>
    <w:uiPriority w:val="99"/>
    <w:semiHidden/>
    <w:unhideWhenUsed/>
    <w:rsid w:val="00EF22A1"/>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TotalTime>
  <Pages>7</Pages>
  <Words>2241</Words>
  <Characters>12778</Characters>
  <Application>Microsoft Office Word</Application>
  <DocSecurity>0</DocSecurity>
  <Lines>106</Lines>
  <Paragraphs>29</Paragraphs>
  <ScaleCrop>false</ScaleCrop>
  <Company/>
  <LinksUpToDate>false</LinksUpToDate>
  <CharactersWithSpaces>14990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 Trajkovski</dc:creator>
  <cp:keywords/>
  <dc:description/>
  <cp:lastModifiedBy>Alex Trajkovski</cp:lastModifiedBy>
  <cp:revision>7</cp:revision>
  <dcterms:created xsi:type="dcterms:W3CDTF">2026-04-22T17:06:00Z</dcterms:created>
  <dcterms:modified xsi:type="dcterms:W3CDTF">2026-04-23T19:03:00Z</dcterms:modified>
</cp:coreProperties>
</file>