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92F"/>
          <w:sz w:val="44"/>
        </w:rPr>
        <w:t>NeuroLearn Research Suite (NEURO_FOCUS)</w:t>
        <w:br/>
      </w:r>
      <w:r>
        <w:rPr>
          <w:b/>
          <w:color w:val="0052CC"/>
          <w:sz w:val="26"/>
        </w:rPr>
        <w:t>Comprehensive Technical &amp; Research Project Report</w:t>
        <w:br/>
      </w:r>
      <w:r>
        <w:rPr>
          <w:i/>
          <w:color w:val="64748B"/>
          <w:sz w:val="20"/>
        </w:rPr>
        <w:t>A Modular Biomedical Signal Processing (BSP) Platform for EEG-Based Attention Quantification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4F7FA"/>
          </w:tcPr>
          <w:p>
            <w:r>
              <w:rPr>
                <w:b/>
                <w:sz w:val="18"/>
              </w:rPr>
              <w:t>Primary Dataset: PhysioNet_S001 (eegmmidb)</w:t>
            </w:r>
          </w:p>
        </w:tc>
        <w:tc>
          <w:tcPr>
            <w:tcW w:type="dxa" w:w="5040"/>
            <w:shd w:fill="F4F7FA"/>
          </w:tcPr>
          <w:p>
            <w:r>
              <w:rPr>
                <w:b/>
                <w:sz w:val="18"/>
              </w:rPr>
              <w:t>Methodology: 100% Non-ML / Explainable BSP</w:t>
            </w:r>
          </w:p>
        </w:tc>
      </w:tr>
      <w:tr>
        <w:tc>
          <w:tcPr>
            <w:tcW w:type="dxa" w:w="5040"/>
            <w:shd w:fill="F4F7FA"/>
          </w:tcPr>
          <w:p>
            <w:r>
              <w:rPr>
                <w:b/>
                <w:sz w:val="18"/>
              </w:rPr>
              <w:t>Sampling Rate (fs): 160.0 Hz</w:t>
            </w:r>
          </w:p>
        </w:tc>
        <w:tc>
          <w:tcPr>
            <w:tcW w:type="dxa" w:w="5040"/>
            <w:shd w:fill="F4F7FA"/>
          </w:tcPr>
          <w:p>
            <w:r>
              <w:rPr>
                <w:b/>
                <w:sz w:val="18"/>
              </w:rPr>
              <w:t>Channel Count: 64 Channels</w:t>
            </w:r>
          </w:p>
        </w:tc>
      </w:tr>
      <w:tr>
        <w:tc>
          <w:tcPr>
            <w:tcW w:type="dxa" w:w="5040"/>
            <w:shd w:fill="F4F7FA"/>
          </w:tcPr>
          <w:p>
            <w:r>
              <w:rPr>
                <w:b/>
                <w:sz w:val="18"/>
              </w:rPr>
              <w:t>Recording Duration: 61.0 Seconds</w:t>
            </w:r>
          </w:p>
        </w:tc>
        <w:tc>
          <w:tcPr>
            <w:tcW w:type="dxa" w:w="5040"/>
            <w:shd w:fill="F4F7FA"/>
          </w:tcPr>
          <w:p>
            <w:r>
              <w:rPr>
                <w:b/>
                <w:sz w:val="18"/>
              </w:rPr>
              <w:t>Quality Audit: 72.73% SQI Score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0052CC"/>
        </w:rPr>
        <w:t>1. Executive Summary &amp; Real-World Dataset Validation</w:t>
      </w:r>
    </w:p>
    <w:p>
      <w:pPr>
        <w:spacing w:after="160"/>
      </w:pPr>
      <w:r>
        <w:t>This report presents an empirical biomedical signal processing study evaluating student cognitive attention state derived directly from the PhysioNet EEG Motor Movement/Imagery Database (eegmmidb). The primary dataset consists of 64-channel EEG recordings sampled at 160.0 Hz from PhysioNet_S001 encompassing both resting baseline (Run 1) and active task conditions (Run 2).</w:t>
      </w:r>
    </w:p>
    <w:p>
      <w:pPr>
        <w:spacing w:after="280"/>
      </w:pPr>
      <w:r>
        <w:t>Strict Non-ML Policy: In accordance with rigorous scientific standards, zero machine learning or black-box predictive models were used. All attention metrics were computed using zero-phase Butterworth bandpass filtering (1-40 Hz), 50 Hz powerline notch filtering, Welch Power Spectral Density (PSD), Hjorth parameters (Activity, Mobility, Complexity), and mathematical band ratio formulations (Beta/Theta).</w:t>
      </w:r>
    </w:p>
    <w:p>
      <w:pPr>
        <w:pStyle w:val="Heading1"/>
      </w:pPr>
      <w:r>
        <w:rPr>
          <w:color w:val="0052CC"/>
        </w:rPr>
        <w:t>2. Core Modular Architecture &amp; Subsystems</w:t>
      </w:r>
    </w:p>
    <w:p>
      <w:r>
        <w:t>The platform comprises 17 decoupled backend processing modules and 21 interactive frontend workspaces:</w:t>
      </w:r>
    </w:p>
    <w:p>
      <w:pPr>
        <w:pStyle w:val="ListBullet"/>
        <w:spacing w:after="60"/>
      </w:pPr>
      <w:r>
        <w:t>1. Dataset Manager: Parses EDF, MAT, CSV, and TXT recordings with automatic metadata detection.</w:t>
      </w:r>
    </w:p>
    <w:p>
      <w:pPr>
        <w:pStyle w:val="ListBullet"/>
        <w:spacing w:after="60"/>
      </w:pPr>
      <w:r>
        <w:t>2. Biopac Import Manager: Normalizes AcqKnowledge MAT/CSV exports into standard EEGData containers.</w:t>
      </w:r>
    </w:p>
    <w:p>
      <w:pPr>
        <w:pStyle w:val="ListBullet"/>
        <w:spacing w:after="60"/>
      </w:pPr>
      <w:r>
        <w:t>3. PhysioNet Adapter: Fetches and formats public PhysioNet EEG Motor Imagery datasets (eegmmidb).</w:t>
      </w:r>
    </w:p>
    <w:p>
      <w:pPr>
        <w:pStyle w:val="ListBullet"/>
        <w:spacing w:after="60"/>
      </w:pPr>
      <w:r>
        <w:t>4. Signal Quality Assessment (SQI): Computes SQI scores (0-100%), SNR (dB), and auto-excludes bad channels.</w:t>
      </w:r>
    </w:p>
    <w:p>
      <w:pPr>
        <w:pStyle w:val="ListBullet"/>
        <w:spacing w:after="60"/>
      </w:pPr>
      <w:r>
        <w:t>5. Signal Preprocessing Cleaner: Executes zero-phase Bandpass (1-40Hz), 50Hz Notch filter, and Z-score standardization.</w:t>
      </w:r>
    </w:p>
    <w:p>
      <w:pPr>
        <w:pStyle w:val="ListBullet"/>
        <w:spacing w:after="60"/>
      </w:pPr>
      <w:r>
        <w:t>6. Sliding Window Engine: Segments continuous EEG into sliding epochs (2s to 30s) with overlap.</w:t>
      </w:r>
    </w:p>
    <w:p>
      <w:pPr>
        <w:pStyle w:val="ListBullet"/>
        <w:spacing w:after="60"/>
      </w:pPr>
      <w:r>
        <w:t>7. Feature Extraction Engine: Extracts time-domain stats, Hjorth parameters, Welch PSD, SEF95, and Wavelet Entropy.</w:t>
      </w:r>
    </w:p>
    <w:p>
      <w:pPr>
        <w:pStyle w:val="ListBullet"/>
        <w:spacing w:after="60"/>
      </w:pPr>
      <w:r>
        <w:t>8. Frequency Analysis Subsystem: Calculates absolute and relative band powers for Delta, Theta, Alpha, Beta, and Gamma.</w:t>
      </w:r>
    </w:p>
    <w:p>
      <w:pPr>
        <w:pStyle w:val="ListBullet"/>
        <w:spacing w:after="60"/>
      </w:pPr>
      <w:r>
        <w:t>9. Mathematical Attention Calculator: Computes non-ML ratio formulas, AST user expressions, and 5-level state classification.</w:t>
      </w:r>
    </w:p>
    <w:p>
      <w:pPr>
        <w:pStyle w:val="ListBullet"/>
        <w:spacing w:after="60"/>
      </w:pPr>
      <w:r>
        <w:t>10. Statistical Analysis Module: Performs hypothesis testing, Shapiro-Wilk normality tests, Cohen's d, and Bland-Altman.</w:t>
      </w:r>
    </w:p>
    <w:p>
      <w:pPr>
        <w:pStyle w:val="ListBullet"/>
        <w:spacing w:after="60"/>
      </w:pPr>
      <w:r>
        <w:t>11. Systematic Ablation Study Engine: Evaluates Preprocessing pipelines, Window sizes, PSD methods, and Formulas.</w:t>
      </w:r>
    </w:p>
    <w:p>
      <w:pPr>
        <w:pStyle w:val="ListBullet"/>
        <w:spacing w:after="60"/>
      </w:pPr>
      <w:r>
        <w:t>12. Research Validation Engine: Direct cross-dataset agreement audit between PhysioNet and Biopac EEG sessions.</w:t>
      </w:r>
    </w:p>
    <w:p>
      <w:pPr>
        <w:pStyle w:val="ListBullet"/>
        <w:spacing w:after="60"/>
      </w:pPr>
      <w:r>
        <w:t>13. Experiment Manager &amp; Reproducibility: Logs software versions, filter bounds, and exports 100% reproducible JSON snapshots.</w:t>
      </w:r>
    </w:p>
    <w:p>
      <w:pPr>
        <w:pStyle w:val="ListBullet"/>
        <w:spacing w:after="60"/>
      </w:pPr>
      <w:r>
        <w:t>14. Multi-Format Report Generator: Exports IEEE/Frontiers-styled PDF, Word DOCX, and CSV dataset reports.</w:t>
      </w:r>
    </w:p>
    <w:p>
      <w:pPr>
        <w:spacing w:after="240"/>
      </w:pPr>
    </w:p>
    <w:p>
      <w:pPr>
        <w:pStyle w:val="Heading1"/>
      </w:pPr>
      <w:r>
        <w:rPr>
          <w:color w:val="0052CC"/>
        </w:rPr>
        <w:t>3. Empirical Attention Analysis (Baseline vs. Task)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52CC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520"/>
            <w:shd w:fill="0052CC"/>
          </w:tcPr>
          <w:p>
            <w:r>
              <w:rPr>
                <w:b/>
                <w:color w:val="FFFFFF"/>
              </w:rPr>
              <w:t>Run 1 (Baseline)</w:t>
            </w:r>
          </w:p>
        </w:tc>
        <w:tc>
          <w:tcPr>
            <w:tcW w:type="dxa" w:w="2520"/>
            <w:shd w:fill="0052CC"/>
          </w:tcPr>
          <w:p>
            <w:r>
              <w:rPr>
                <w:b/>
                <w:color w:val="FFFFFF"/>
              </w:rPr>
              <w:t>Run 2 (Task)</w:t>
            </w:r>
          </w:p>
        </w:tc>
        <w:tc>
          <w:tcPr>
            <w:tcW w:type="dxa" w:w="2520"/>
            <w:shd w:fill="0052CC"/>
          </w:tcPr>
          <w:p>
            <w:r>
              <w:rPr>
                <w:b/>
                <w:color w:val="FFFFFF"/>
              </w:rPr>
              <w:t>Scientific Significance</w:t>
            </w:r>
          </w:p>
        </w:tc>
      </w:tr>
      <w:tr>
        <w:tc>
          <w:tcPr>
            <w:tcW w:type="dxa" w:w="2520"/>
            <w:shd w:fill="F4F7FA"/>
          </w:tcPr>
          <w:p>
            <w:r>
              <w:t>Average Attention Score</w:t>
            </w:r>
          </w:p>
        </w:tc>
        <w:tc>
          <w:tcPr>
            <w:tcW w:type="dxa" w:w="2520"/>
            <w:shd w:fill="F4F7FA"/>
          </w:tcPr>
          <w:p>
            <w:r>
              <w:t>51.4 / 100</w:t>
            </w:r>
          </w:p>
        </w:tc>
        <w:tc>
          <w:tcPr>
            <w:tcW w:type="dxa" w:w="2520"/>
            <w:shd w:fill="F4F7FA"/>
          </w:tcPr>
          <w:p>
            <w:r>
              <w:t>48.3 / 100</w:t>
            </w:r>
          </w:p>
        </w:tc>
        <w:tc>
          <w:tcPr>
            <w:tcW w:type="dxa" w:w="2520"/>
            <w:shd w:fill="F4F7FA"/>
          </w:tcPr>
          <w:p>
            <w:r>
              <w:t>Mean cognitive score</w:t>
            </w:r>
          </w:p>
        </w:tc>
      </w:tr>
      <w:tr>
        <w:tc>
          <w:tcPr>
            <w:tcW w:type="dxa" w:w="2520"/>
          </w:tcPr>
          <w:p>
            <w:r>
              <w:t>Peak Attention Score</w:t>
            </w:r>
          </w:p>
        </w:tc>
        <w:tc>
          <w:tcPr>
            <w:tcW w:type="dxa" w:w="2520"/>
          </w:tcPr>
          <w:p>
            <w:r>
              <w:t>95.3 / 100</w:t>
            </w:r>
          </w:p>
        </w:tc>
        <w:tc>
          <w:tcPr>
            <w:tcW w:type="dxa" w:w="2520"/>
          </w:tcPr>
          <w:p>
            <w:r>
              <w:t>79.9 / 100</w:t>
            </w:r>
          </w:p>
        </w:tc>
        <w:tc>
          <w:tcPr>
            <w:tcW w:type="dxa" w:w="2520"/>
          </w:tcPr>
          <w:p>
            <w:r>
              <w:t>Maximum focused state</w:t>
            </w:r>
          </w:p>
        </w:tc>
      </w:tr>
      <w:tr>
        <w:tc>
          <w:tcPr>
            <w:tcW w:type="dxa" w:w="2520"/>
            <w:shd w:fill="F4F7FA"/>
          </w:tcPr>
          <w:p>
            <w:r>
              <w:t>Minimum Attention Score</w:t>
            </w:r>
          </w:p>
        </w:tc>
        <w:tc>
          <w:tcPr>
            <w:tcW w:type="dxa" w:w="2520"/>
            <w:shd w:fill="F4F7FA"/>
          </w:tcPr>
          <w:p>
            <w:r>
              <w:t>17.2 / 100</w:t>
            </w:r>
          </w:p>
        </w:tc>
        <w:tc>
          <w:tcPr>
            <w:tcW w:type="dxa" w:w="2520"/>
            <w:shd w:fill="F4F7FA"/>
          </w:tcPr>
          <w:p>
            <w:r>
              <w:t>11.3 / 100</w:t>
            </w:r>
          </w:p>
        </w:tc>
        <w:tc>
          <w:tcPr>
            <w:tcW w:type="dxa" w:w="2520"/>
            <w:shd w:fill="F4F7FA"/>
          </w:tcPr>
          <w:p>
            <w:r>
              <w:t>Nadir attention level</w:t>
            </w:r>
          </w:p>
        </w:tc>
      </w:tr>
      <w:tr>
        <w:tc>
          <w:tcPr>
            <w:tcW w:type="dxa" w:w="2520"/>
          </w:tcPr>
          <w:p>
            <w:r>
              <w:t>Attention Stability Index</w:t>
            </w:r>
          </w:p>
        </w:tc>
        <w:tc>
          <w:tcPr>
            <w:tcW w:type="dxa" w:w="2520"/>
          </w:tcPr>
          <w:p>
            <w:r>
              <w:t>79.8%</w:t>
            </w:r>
          </w:p>
        </w:tc>
        <w:tc>
          <w:tcPr>
            <w:tcW w:type="dxa" w:w="2520"/>
          </w:tcPr>
          <w:p>
            <w:r>
              <w:t>78.6%</w:t>
            </w:r>
          </w:p>
        </w:tc>
        <w:tc>
          <w:tcPr>
            <w:tcW w:type="dxa" w:w="2520"/>
          </w:tcPr>
          <w:p>
            <w:r>
              <w:t>Inverse std deviation</w:t>
            </w:r>
          </w:p>
        </w:tc>
      </w:tr>
      <w:tr>
        <w:tc>
          <w:tcPr>
            <w:tcW w:type="dxa" w:w="2520"/>
            <w:shd w:fill="F4F7FA"/>
          </w:tcPr>
          <w:p>
            <w:r>
              <w:t>Dominant Category</w:t>
            </w:r>
          </w:p>
        </w:tc>
        <w:tc>
          <w:tcPr>
            <w:tcW w:type="dxa" w:w="2520"/>
            <w:shd w:fill="F4F7FA"/>
          </w:tcPr>
          <w:p>
            <w:r>
              <w:t>Low Attention</w:t>
            </w:r>
          </w:p>
        </w:tc>
        <w:tc>
          <w:tcPr>
            <w:tcW w:type="dxa" w:w="2520"/>
            <w:shd w:fill="F4F7FA"/>
          </w:tcPr>
          <w:p>
            <w:r>
              <w:t>High Attention</w:t>
            </w:r>
          </w:p>
        </w:tc>
        <w:tc>
          <w:tcPr>
            <w:tcW w:type="dxa" w:w="2520"/>
            <w:shd w:fill="F4F7FA"/>
          </w:tcPr>
          <w:p>
            <w:r>
              <w:t>5-Level rule-based state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0052CC"/>
        </w:rPr>
        <w:t>4. Statistical Hypothesis Testing &amp; Bland-Altman Agreement</w:t>
      </w:r>
    </w:p>
    <w:p>
      <w:pPr>
        <w:spacing w:after="280"/>
      </w:pPr>
      <w:r>
        <w:t>Hypothesis Test: Independent Two-Sample t-Test</w:t>
        <w:br/>
        <w:t>Test Statistic: 0.494 (p-value = 0.6240)</w:t>
        <w:br/>
        <w:t>Cohen's d Effect Size: d = 0.15</w:t>
        <w:br/>
        <w:t>Bland-Altman Agreement: Mean Bias = 3.09 points, 95% Limits of Agreement = [-61.87, 68.05], Pearson r = -0.218.</w:t>
      </w:r>
    </w:p>
    <w:p>
      <w:pPr>
        <w:pStyle w:val="Heading1"/>
      </w:pPr>
      <w:r>
        <w:rPr>
          <w:color w:val="0052CC"/>
        </w:rPr>
        <w:t>5. Real-World Systematic Ablation Study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0A896"/>
          </w:tcPr>
          <w:p>
            <w:r>
              <w:rPr>
                <w:b/>
                <w:color w:val="FFFFFF"/>
              </w:rPr>
              <w:t>Preprocessing Pipeline</w:t>
            </w:r>
          </w:p>
        </w:tc>
        <w:tc>
          <w:tcPr>
            <w:tcW w:type="dxa" w:w="2016"/>
            <w:shd w:fill="00A896"/>
          </w:tcPr>
          <w:p>
            <w:r>
              <w:rPr>
                <w:b/>
                <w:color w:val="FFFFFF"/>
              </w:rPr>
              <w:t>Mean Attention</w:t>
            </w:r>
          </w:p>
        </w:tc>
        <w:tc>
          <w:tcPr>
            <w:tcW w:type="dxa" w:w="2016"/>
            <w:shd w:fill="00A896"/>
          </w:tcPr>
          <w:p>
            <w:r>
              <w:rPr>
                <w:b/>
                <w:color w:val="FFFFFF"/>
              </w:rPr>
              <w:t>Peak Attention</w:t>
            </w:r>
          </w:p>
        </w:tc>
        <w:tc>
          <w:tcPr>
            <w:tcW w:type="dxa" w:w="2016"/>
            <w:shd w:fill="00A896"/>
          </w:tcPr>
          <w:p>
            <w:r>
              <w:rPr>
                <w:b/>
                <w:color w:val="FFFFFF"/>
              </w:rPr>
              <w:t>Stability Index</w:t>
            </w:r>
          </w:p>
        </w:tc>
        <w:tc>
          <w:tcPr>
            <w:tcW w:type="dxa" w:w="2016"/>
            <w:shd w:fill="00A896"/>
          </w:tcPr>
          <w:p>
            <w:r>
              <w:rPr>
                <w:b/>
                <w:color w:val="FFFFFF"/>
              </w:rPr>
              <w:t>Dominant Category</w:t>
            </w:r>
          </w:p>
        </w:tc>
      </w:tr>
      <w:tr>
        <w:tc>
          <w:tcPr>
            <w:tcW w:type="dxa" w:w="2016"/>
            <w:shd w:fill="E6F4F1"/>
          </w:tcPr>
          <w:p>
            <w:r>
              <w:t>Raw Signal</w:t>
            </w:r>
          </w:p>
        </w:tc>
        <w:tc>
          <w:tcPr>
            <w:tcW w:type="dxa" w:w="2016"/>
            <w:shd w:fill="E6F4F1"/>
          </w:tcPr>
          <w:p>
            <w:r>
              <w:t>52.9 / 100</w:t>
            </w:r>
          </w:p>
        </w:tc>
        <w:tc>
          <w:tcPr>
            <w:tcW w:type="dxa" w:w="2016"/>
            <w:shd w:fill="E6F4F1"/>
          </w:tcPr>
          <w:p>
            <w:r>
              <w:t>94.7</w:t>
            </w:r>
          </w:p>
        </w:tc>
        <w:tc>
          <w:tcPr>
            <w:tcW w:type="dxa" w:w="2016"/>
            <w:shd w:fill="E6F4F1"/>
          </w:tcPr>
          <w:p>
            <w:r>
              <w:t>79.6%</w:t>
            </w:r>
          </w:p>
        </w:tc>
        <w:tc>
          <w:tcPr>
            <w:tcW w:type="dxa" w:w="2016"/>
            <w:shd w:fill="E6F4F1"/>
          </w:tcPr>
          <w:p>
            <w:r>
              <w:t>High Attention</w:t>
            </w:r>
          </w:p>
        </w:tc>
      </w:tr>
      <w:tr>
        <w:tc>
          <w:tcPr>
            <w:tcW w:type="dxa" w:w="2016"/>
          </w:tcPr>
          <w:p>
            <w:r>
              <w:t>Bandpass Only</w:t>
            </w:r>
          </w:p>
        </w:tc>
        <w:tc>
          <w:tcPr>
            <w:tcW w:type="dxa" w:w="2016"/>
          </w:tcPr>
          <w:p>
            <w:r>
              <w:t>52.9 / 100</w:t>
            </w:r>
          </w:p>
        </w:tc>
        <w:tc>
          <w:tcPr>
            <w:tcW w:type="dxa" w:w="2016"/>
          </w:tcPr>
          <w:p>
            <w:r>
              <w:t>94.7</w:t>
            </w:r>
          </w:p>
        </w:tc>
        <w:tc>
          <w:tcPr>
            <w:tcW w:type="dxa" w:w="2016"/>
          </w:tcPr>
          <w:p>
            <w:r>
              <w:t>79.6%</w:t>
            </w:r>
          </w:p>
        </w:tc>
        <w:tc>
          <w:tcPr>
            <w:tcW w:type="dxa" w:w="2016"/>
          </w:tcPr>
          <w:p>
            <w:r>
              <w:t>High Attention</w:t>
            </w:r>
          </w:p>
        </w:tc>
      </w:tr>
      <w:tr>
        <w:tc>
          <w:tcPr>
            <w:tcW w:type="dxa" w:w="2016"/>
          </w:tcPr>
          <w:p>
            <w:r>
              <w:t>Bandpass + Notch</w:t>
            </w:r>
          </w:p>
        </w:tc>
        <w:tc>
          <w:tcPr>
            <w:tcW w:type="dxa" w:w="2016"/>
          </w:tcPr>
          <w:p>
            <w:r>
              <w:t>52.9 / 100</w:t>
            </w:r>
          </w:p>
        </w:tc>
        <w:tc>
          <w:tcPr>
            <w:tcW w:type="dxa" w:w="2016"/>
          </w:tcPr>
          <w:p>
            <w:r>
              <w:t>94.7</w:t>
            </w:r>
          </w:p>
        </w:tc>
        <w:tc>
          <w:tcPr>
            <w:tcW w:type="dxa" w:w="2016"/>
          </w:tcPr>
          <w:p>
            <w:r>
              <w:t>79.6%</w:t>
            </w:r>
          </w:p>
        </w:tc>
        <w:tc>
          <w:tcPr>
            <w:tcW w:type="dxa" w:w="2016"/>
          </w:tcPr>
          <w:p>
            <w:r>
              <w:t>High Attention</w:t>
            </w:r>
          </w:p>
        </w:tc>
      </w:tr>
      <w:tr>
        <w:tc>
          <w:tcPr>
            <w:tcW w:type="dxa" w:w="2016"/>
          </w:tcPr>
          <w:p>
            <w:r>
              <w:t>Full Preprocessing</w:t>
            </w:r>
          </w:p>
        </w:tc>
        <w:tc>
          <w:tcPr>
            <w:tcW w:type="dxa" w:w="2016"/>
          </w:tcPr>
          <w:p>
            <w:r>
              <w:t>51.4 / 100</w:t>
            </w:r>
          </w:p>
        </w:tc>
        <w:tc>
          <w:tcPr>
            <w:tcW w:type="dxa" w:w="2016"/>
          </w:tcPr>
          <w:p>
            <w:r>
              <w:t>95.3</w:t>
            </w:r>
          </w:p>
        </w:tc>
        <w:tc>
          <w:tcPr>
            <w:tcW w:type="dxa" w:w="2016"/>
          </w:tcPr>
          <w:p>
            <w:r>
              <w:t>79.8%</w:t>
            </w:r>
          </w:p>
        </w:tc>
        <w:tc>
          <w:tcPr>
            <w:tcW w:type="dxa" w:w="2016"/>
          </w:tcPr>
          <w:p>
            <w:r>
              <w:t>Low Attention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0052CC"/>
        </w:rPr>
        <w:t>6. Mathematical Derivations &amp; Academic References</w:t>
      </w:r>
    </w:p>
    <w:p>
      <w:pPr>
        <w:spacing w:after="200"/>
      </w:pPr>
      <w:r>
        <w:t>• 4th Order Zero-Phase Butterworth Bandpass: |H(jw)|^2 = 1 / [ 1 + ((w^2 - w0^2)/(w*B))^(2N) ]</w:t>
        <w:br/>
        <w:t>• Hjorth Activity: var(x(t)) = sigma_x^2 | Mobility: sigma_x' / sigma_x | Complexity: Mobility(dx/dt) / Mobility(x(t))</w:t>
        <w:br/>
        <w:t>• Welch PSD: PSD(f) = (1/K) sum_{k=1}^K |FFT(x_k * w)|^2 / (L * U)</w:t>
        <w:br/>
        <w:t>• Spectral Edge Frequency (SEF95): Integral_0^{f95} PSD(f) df = 0.95 * Total_Power</w:t>
        <w:br/>
        <w:t>• Attention Ratio: Beta / Theta = Power(13-30Hz) / Power(4-8Hz)</w:t>
        <w:br/>
        <w:t>• Cohen's d: d = (Mean_1 - Mean_2) / s_pooled</w:t>
      </w:r>
    </w:p>
    <w:p>
      <w:pPr>
        <w:spacing w:after="280"/>
      </w:pPr>
      <w:r>
        <w:t>Academic References:</w:t>
        <w:br/>
        <w:t>1. Goldberger, A. L., et al. (2000). 'PhysioBank, PhysioToolkit, and PhysioNet: Components of a new research resource for complex physiologic signals.' Circulation, 101(23), e215-e220.</w:t>
        <w:br/>
        <w:t>2. Coelli, S., et al. (2018). 'EEG-based indices of attention during online learning tasks.' IEEE Transactions on Biomedical Engineering.</w:t>
        <w:br/>
        <w:t>3. Hjorth, B. (1970). 'EEG analysis based on time domain properties.' Electroencephalography and Clinical Neurophysiology.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