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A192F"/>
          <w:sz w:val="48"/>
        </w:rPr>
        <w:t>NeuroLearn Research Suite (NEURO_FOCUS)</w:t>
        <w:br/>
      </w:r>
      <w:r>
        <w:rPr>
          <w:b/>
          <w:color w:val="0052CC"/>
          <w:sz w:val="24"/>
        </w:rPr>
        <w:t>Complete System Architecture, Clinical Features, &amp; Empirical Documentation</w:t>
        <w:br/>
      </w:r>
      <w:r>
        <w:rPr>
          <w:i/>
          <w:color w:val="64748B"/>
          <w:sz w:val="20"/>
        </w:rPr>
        <w:t>A Modular Biomedical Signal Processing (BSP) Platform for EEG Attention Quantification</w:t>
      </w:r>
    </w:p>
    <w:p>
      <w:pPr>
        <w:spacing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F4F7FA"/>
          </w:tcPr>
          <w:p>
            <w:r>
              <w:rPr>
                <w:b/>
                <w:sz w:val="18"/>
              </w:rPr>
              <w:t>Platform Version: 1.0.0 (Research Edition)</w:t>
            </w:r>
          </w:p>
        </w:tc>
        <w:tc>
          <w:tcPr>
            <w:tcW w:type="dxa" w:w="5040"/>
            <w:shd w:fill="F4F7FA"/>
          </w:tcPr>
          <w:p>
            <w:r>
              <w:rPr>
                <w:b/>
                <w:sz w:val="18"/>
              </w:rPr>
              <w:t>Methodology: 100% Non-ML / Explainable BSP</w:t>
            </w:r>
          </w:p>
        </w:tc>
      </w:tr>
      <w:tr>
        <w:tc>
          <w:tcPr>
            <w:tcW w:type="dxa" w:w="5040"/>
            <w:shd w:fill="F4F7FA"/>
          </w:tcPr>
          <w:p>
            <w:r>
              <w:rPr>
                <w:b/>
                <w:sz w:val="18"/>
              </w:rPr>
              <w:t>Primary Dataset: PhysioNet_S001 (64 Channels, 160.0 Hz)</w:t>
            </w:r>
          </w:p>
        </w:tc>
        <w:tc>
          <w:tcPr>
            <w:tcW w:type="dxa" w:w="5040"/>
            <w:shd w:fill="F4F7FA"/>
          </w:tcPr>
          <w:p>
            <w:r>
              <w:rPr>
                <w:b/>
                <w:sz w:val="18"/>
              </w:rPr>
              <w:t>Signal Quality Audit: 72.73% SQI Score</w:t>
            </w:r>
          </w:p>
        </w:tc>
      </w:tr>
      <w:tr>
        <w:tc>
          <w:tcPr>
            <w:tcW w:type="dxa" w:w="5040"/>
            <w:shd w:fill="F4F7FA"/>
          </w:tcPr>
          <w:p>
            <w:r>
              <w:rPr>
                <w:b/>
                <w:sz w:val="18"/>
              </w:rPr>
              <w:t>Verification Status: 11/11 Pytest Suite Passed</w:t>
            </w:r>
          </w:p>
        </w:tc>
        <w:tc>
          <w:tcPr>
            <w:tcW w:type="dxa" w:w="5040"/>
            <w:shd w:fill="F4F7FA"/>
          </w:tcPr>
          <w:p>
            <w:r>
              <w:rPr>
                <w:b/>
                <w:sz w:val="18"/>
              </w:rPr>
              <w:t>GitHub Repository: 60140-Ikrama/NEURO_FOCUS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0052CC"/>
        </w:rPr>
        <w:t>1. Executive Summary &amp; Research Philosophy</w:t>
      </w:r>
    </w:p>
    <w:p>
      <w:r>
        <w:t>The NeuroLearn Research Suite is a professional research-grade Biomedical Signal Processing (BSP) application designed for biomedical engineering laboratories, university research, academic publications, and graduate thesis work. It objectively quantifies student attention state directly from multi-channel EEG recordings.</w:t>
      </w:r>
    </w:p>
    <w:p>
      <w:r>
        <w:t>Strict Non-ML Policy: This platform explicitly does NOT use machine learning, neural networks, CNNs, LSTMs, Transformers, or black-box predictive models. All cognitive metrics are derived transparently using zero-phase Butterworth bandpass filtering (1.0-40.0 Hz), 50 Hz powerline notch filtering, FastICA artifact rejection, Common Average Reference (CAR) / Longitudinal Bipolar Double Banana montage referencing, Welch Power Spectral Density (PSD), Hjorth parameters (Activity, Mobility, Complexity), Discrete Wavelet Transforms (DWT), and mathematical band ratio formulations (Beta/Theta).</w:t>
      </w:r>
    </w:p>
    <w:p>
      <w:pPr>
        <w:pStyle w:val="Heading1"/>
      </w:pPr>
      <w:r>
        <w:rPr>
          <w:color w:val="0052CC"/>
        </w:rPr>
        <w:t>2. 17 Core Decoupled Backend Processing Modules</w:t>
      </w:r>
    </w:p>
    <w:p>
      <w:pPr>
        <w:pStyle w:val="ListBullet"/>
      </w:pPr>
      <w:r>
        <w:rPr>
          <w:b/>
        </w:rPr>
        <w:t xml:space="preserve">1. Dataset Manager (data/loader.py): </w:t>
      </w:r>
      <w:r>
        <w:t>Parses EDF, MAT, CSV, and TXT files with auto-detection of sampling rate fs, channel labels, duration, and units.</w:t>
      </w:r>
    </w:p>
    <w:p>
      <w:pPr>
        <w:pStyle w:val="ListBullet"/>
      </w:pPr>
      <w:r>
        <w:rPr>
          <w:b/>
        </w:rPr>
        <w:t xml:space="preserve">2. Biopac Import Manager (data/biopac.py): </w:t>
      </w:r>
      <w:r>
        <w:t>Normalizes AcqKnowledge MAT/CSV exports into standard EEGData containers without changing downstream logic.</w:t>
      </w:r>
    </w:p>
    <w:p>
      <w:pPr>
        <w:pStyle w:val="ListBullet"/>
      </w:pPr>
      <w:r>
        <w:rPr>
          <w:b/>
        </w:rPr>
        <w:t xml:space="preserve">3. PhysioNet Adapter (data/physionet.py): </w:t>
      </w:r>
      <w:r>
        <w:t>Fetches public PhysioNet EEG Motor Imagery datasets (eegmmidb) via MNE integration.</w:t>
      </w:r>
    </w:p>
    <w:p>
      <w:pPr>
        <w:pStyle w:val="ListBullet"/>
      </w:pPr>
      <w:r>
        <w:rPr>
          <w:b/>
        </w:rPr>
        <w:t xml:space="preserve">4. Signal Quality Assessment (preprocessing/quality.py): </w:t>
      </w:r>
      <w:r>
        <w:t>Computes Signal Quality Index (0-100%), SNR (dB), kurtosis spike detection, flatline channels, and auto-excludes bad channels.</w:t>
      </w:r>
    </w:p>
    <w:p>
      <w:pPr>
        <w:pStyle w:val="ListBullet"/>
      </w:pPr>
      <w:r>
        <w:rPr>
          <w:b/>
        </w:rPr>
        <w:t xml:space="preserve">5. Signal Preprocessing Cleaner (preprocessing/cleaner.py): </w:t>
      </w:r>
      <w:r>
        <w:t>Executes zero-phase Butterworth Bandpass (1-40Hz), 50Hz Notch, DC detrending, CAR/Bipolar montage referencing, FastICA, and Z-score standardization.</w:t>
      </w:r>
    </w:p>
    <w:p>
      <w:pPr>
        <w:pStyle w:val="ListBullet"/>
      </w:pPr>
      <w:r>
        <w:rPr>
          <w:b/>
        </w:rPr>
        <w:t xml:space="preserve">6. Sliding Window Engine (segmentation/windowing.py): </w:t>
      </w:r>
      <w:r>
        <w:t>Segments continuous EEG into sliding epochs (2s to 30s) with configurable overlap (0% to 90%).</w:t>
      </w:r>
    </w:p>
    <w:p>
      <w:pPr>
        <w:pStyle w:val="ListBullet"/>
      </w:pPr>
      <w:r>
        <w:rPr>
          <w:b/>
        </w:rPr>
        <w:t xml:space="preserve">7. Feature Extraction Engine (features/extractor.py): </w:t>
      </w:r>
      <w:r>
        <w:t>Extracts time domain stats, Hjorth parameters, Welch/Multitaper PSD, SEF95, Spectral Entropy, and Wavelet Entropy.</w:t>
      </w:r>
    </w:p>
    <w:p>
      <w:pPr>
        <w:pStyle w:val="ListBullet"/>
      </w:pPr>
      <w:r>
        <w:rPr>
          <w:b/>
        </w:rPr>
        <w:t xml:space="preserve">8. Frequency Analysis Subsystem (features/frequency_domain.py): </w:t>
      </w:r>
      <w:r>
        <w:t>Calculates absolute and relative band powers for Delta (0.5-4Hz), Theta (4-8Hz), Alpha (8-13Hz), Beta (13-30Hz), and Gamma (30-40Hz).</w:t>
      </w:r>
    </w:p>
    <w:p>
      <w:pPr>
        <w:pStyle w:val="ListBullet"/>
      </w:pPr>
      <w:r>
        <w:rPr>
          <w:b/>
        </w:rPr>
        <w:t xml:space="preserve">9. Mathematical Attention Calculator (attention/calculator.py): </w:t>
      </w:r>
      <w:r>
        <w:t>Computes non-ML ratio formulas, safe AST user expressions, 0-100 normalization, and 5-level state classification.</w:t>
      </w:r>
    </w:p>
    <w:p>
      <w:pPr>
        <w:pStyle w:val="ListBullet"/>
      </w:pPr>
      <w:r>
        <w:rPr>
          <w:b/>
        </w:rPr>
        <w:t xml:space="preserve">10. Statistical Analysis Module (stats/analyzer.py): </w:t>
      </w:r>
      <w:r>
        <w:t>Performs parametric/non-parametric hypothesis testing, Shapiro-Wilk normality tests, Cohen's d effect sizes, and Bland-Altman agreement.</w:t>
      </w:r>
    </w:p>
    <w:p>
      <w:pPr>
        <w:pStyle w:val="ListBullet"/>
      </w:pPr>
      <w:r>
        <w:rPr>
          <w:b/>
        </w:rPr>
        <w:t xml:space="preserve">11. Systematic Ablation Study Engine (ablation/engine.py): </w:t>
      </w:r>
      <w:r>
        <w:t>Primary research module systematically evaluating Preprocessing pipelines, Window sizes, PSD methods, and Formulas.</w:t>
      </w:r>
    </w:p>
    <w:p>
      <w:pPr>
        <w:pStyle w:val="ListBullet"/>
      </w:pPr>
      <w:r>
        <w:rPr>
          <w:b/>
        </w:rPr>
        <w:t xml:space="preserve">12. Research Validation Engine (validation/engine.py): </w:t>
      </w:r>
      <w:r>
        <w:t>Direct cross-dataset agreement audit between PhysioNet and Biopac EEG sessions.</w:t>
      </w:r>
    </w:p>
    <w:p>
      <w:pPr>
        <w:pStyle w:val="ListBullet"/>
      </w:pPr>
      <w:r>
        <w:rPr>
          <w:b/>
        </w:rPr>
        <w:t xml:space="preserve">13. Experiment Tracker (experiments/tracker.py): </w:t>
      </w:r>
      <w:r>
        <w:t>Logs software versions, filter bounds, data hashes, and exports 100% reproducible JSON state snapshots.</w:t>
      </w:r>
    </w:p>
    <w:p>
      <w:pPr>
        <w:pStyle w:val="ListBullet"/>
      </w:pPr>
      <w:r>
        <w:rPr>
          <w:b/>
        </w:rPr>
        <w:t xml:space="preserve">14. Multi-Format Exporter (reports/generator.py): </w:t>
      </w:r>
      <w:r>
        <w:t>Exports IEEE/Frontiers-styled PDF, Word DOCX, and CSV dataset reports.</w:t>
      </w:r>
    </w:p>
    <w:p>
      <w:pPr>
        <w:pStyle w:val="ListBullet"/>
      </w:pPr>
      <w:r>
        <w:rPr>
          <w:b/>
        </w:rPr>
        <w:t xml:space="preserve">15. Configuration Manager (config/manager.py): </w:t>
      </w:r>
      <w:r>
        <w:t>Centralized YAML/JSON configuration manager.</w:t>
      </w:r>
    </w:p>
    <w:p>
      <w:pPr>
        <w:pStyle w:val="ListBullet"/>
      </w:pPr>
      <w:r>
        <w:rPr>
          <w:b/>
        </w:rPr>
        <w:t xml:space="preserve">16. Visualization Engine (visualization/plots.py): </w:t>
      </w:r>
      <w:r>
        <w:t>Generates high-resolution Plotly charts, Welch PSD curves, STFT Spectrograms, and 2D Topographic Scalp Power Heatmaps.</w:t>
      </w:r>
    </w:p>
    <w:p>
      <w:pPr>
        <w:pStyle w:val="ListBullet"/>
      </w:pPr>
      <w:r>
        <w:rPr>
          <w:b/>
        </w:rPr>
        <w:t xml:space="preserve">17. Plugin Extension Manager (plugins/manager.py): </w:t>
      </w:r>
      <w:r>
        <w:t>Dynamic registry for custom signal filters, feature extractors, and attention index formulations.</w:t>
      </w:r>
    </w:p>
    <w:p>
      <w:pPr>
        <w:pStyle w:val="Heading1"/>
      </w:pPr>
      <w:r>
        <w:rPr>
          <w:color w:val="0052CC"/>
        </w:rPr>
        <w:t>3. 21 Desktop Workspaces &amp; Streamlit Dashboard Redesigns</w:t>
      </w:r>
    </w:p>
    <w:p>
      <w:r>
        <w:t>The frontend application provides a desktop-first scientific interface styled after professional biomedical software such as MATLAB App Designer, LabChart, Biopac AcqKnowledge, BrainVision Analyzer, and OpenBCI GUI. It features a dark medical theme (#060d19 background, #142642 glassmorphic containers, #00d2ff cyan, #0052cc medical blue).</w:t>
      </w:r>
    </w:p>
    <w:p>
      <w:r>
        <w:t>High-Density Dashboard Layouts:</w:t>
      </w:r>
    </w:p>
    <w:p>
      <w:pPr>
        <w:pStyle w:val="ListBullet"/>
      </w:pPr>
      <w:r>
        <w:t>• Dashboard 1 (Executive Scientific Overview): 4-Column Hero Glassmorphic Telemetry Cards, 65/35 Split Layout (Attention Timeline Plot &amp; 2D Brain Electrode Topology Map + Band Powers), and Preprocessing Sequence Node Flow.</w:t>
      </w:r>
    </w:p>
    <w:p>
      <w:pPr>
        <w:pStyle w:val="ListBullet"/>
      </w:pPr>
      <w:r>
        <w:t>• Dashboard 2 (EEG Waveform Hub &amp; Spectral Workspace): Control Bar, Multi-Channel Stacked Waveform Plotter with margin padding, Welch PSD Curves, STFT Spectrogram, and Channel SQI Quality Audit Matrix.</w:t>
      </w:r>
    </w:p>
    <w:p>
      <w:pPr>
        <w:pStyle w:val="Heading1"/>
      </w:pPr>
      <w:r>
        <w:rPr>
          <w:color w:val="0052CC"/>
        </w:rPr>
        <w:t>4. Empirical Results on Real-World PhysioNet Dataset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0052CC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2520"/>
            <w:shd w:fill="0052CC"/>
          </w:tcPr>
          <w:p>
            <w:r>
              <w:rPr>
                <w:b/>
                <w:color w:val="FFFFFF"/>
              </w:rPr>
              <w:t>Run 1 (Baseline)</w:t>
            </w:r>
          </w:p>
        </w:tc>
        <w:tc>
          <w:tcPr>
            <w:tcW w:type="dxa" w:w="2520"/>
            <w:shd w:fill="0052CC"/>
          </w:tcPr>
          <w:p>
            <w:r>
              <w:rPr>
                <w:b/>
                <w:color w:val="FFFFFF"/>
              </w:rPr>
              <w:t>Run 2 (Task)</w:t>
            </w:r>
          </w:p>
        </w:tc>
        <w:tc>
          <w:tcPr>
            <w:tcW w:type="dxa" w:w="2520"/>
            <w:shd w:fill="0052CC"/>
          </w:tcPr>
          <w:p>
            <w:r>
              <w:rPr>
                <w:b/>
                <w:color w:val="FFFFFF"/>
              </w:rPr>
              <w:t>Scientific Significance</w:t>
            </w:r>
          </w:p>
        </w:tc>
      </w:tr>
      <w:tr>
        <w:tc>
          <w:tcPr>
            <w:tcW w:type="dxa" w:w="2520"/>
            <w:shd w:fill="F4F7FA"/>
          </w:tcPr>
          <w:p>
            <w:r>
              <w:t>Average Attention Score</w:t>
            </w:r>
          </w:p>
        </w:tc>
        <w:tc>
          <w:tcPr>
            <w:tcW w:type="dxa" w:w="2520"/>
            <w:shd w:fill="F4F7FA"/>
          </w:tcPr>
          <w:p>
            <w:r>
              <w:t>58.5 / 100</w:t>
            </w:r>
          </w:p>
        </w:tc>
        <w:tc>
          <w:tcPr>
            <w:tcW w:type="dxa" w:w="2520"/>
            <w:shd w:fill="F4F7FA"/>
          </w:tcPr>
          <w:p>
            <w:r>
              <w:t>55.9 / 100</w:t>
            </w:r>
          </w:p>
        </w:tc>
        <w:tc>
          <w:tcPr>
            <w:tcW w:type="dxa" w:w="2520"/>
            <w:shd w:fill="F4F7FA"/>
          </w:tcPr>
          <w:p>
            <w:r>
              <w:t>Mean cognitive score</w:t>
            </w:r>
          </w:p>
        </w:tc>
      </w:tr>
      <w:tr>
        <w:tc>
          <w:tcPr>
            <w:tcW w:type="dxa" w:w="2520"/>
          </w:tcPr>
          <w:p>
            <w:r>
              <w:t>Peak Attention Score</w:t>
            </w:r>
          </w:p>
        </w:tc>
        <w:tc>
          <w:tcPr>
            <w:tcW w:type="dxa" w:w="2520"/>
          </w:tcPr>
          <w:p>
            <w:r>
              <w:t>93.5 / 100</w:t>
            </w:r>
          </w:p>
        </w:tc>
        <w:tc>
          <w:tcPr>
            <w:tcW w:type="dxa" w:w="2520"/>
          </w:tcPr>
          <w:p>
            <w:r>
              <w:t>89.2 / 100</w:t>
            </w:r>
          </w:p>
        </w:tc>
        <w:tc>
          <w:tcPr>
            <w:tcW w:type="dxa" w:w="2520"/>
          </w:tcPr>
          <w:p>
            <w:r>
              <w:t>Maximum focused state</w:t>
            </w:r>
          </w:p>
        </w:tc>
      </w:tr>
      <w:tr>
        <w:tc>
          <w:tcPr>
            <w:tcW w:type="dxa" w:w="2520"/>
            <w:shd w:fill="F4F7FA"/>
          </w:tcPr>
          <w:p>
            <w:r>
              <w:t>Minimum Attention Score</w:t>
            </w:r>
          </w:p>
        </w:tc>
        <w:tc>
          <w:tcPr>
            <w:tcW w:type="dxa" w:w="2520"/>
            <w:shd w:fill="F4F7FA"/>
          </w:tcPr>
          <w:p>
            <w:r>
              <w:t>27.4 / 100</w:t>
            </w:r>
          </w:p>
        </w:tc>
        <w:tc>
          <w:tcPr>
            <w:tcW w:type="dxa" w:w="2520"/>
            <w:shd w:fill="F4F7FA"/>
          </w:tcPr>
          <w:p>
            <w:r>
              <w:t>17.4 / 100</w:t>
            </w:r>
          </w:p>
        </w:tc>
        <w:tc>
          <w:tcPr>
            <w:tcW w:type="dxa" w:w="2520"/>
            <w:shd w:fill="F4F7FA"/>
          </w:tcPr>
          <w:p>
            <w:r>
              <w:t>Nadir attention level</w:t>
            </w:r>
          </w:p>
        </w:tc>
      </w:tr>
      <w:tr>
        <w:tc>
          <w:tcPr>
            <w:tcW w:type="dxa" w:w="2520"/>
          </w:tcPr>
          <w:p>
            <w:r>
              <w:t>Attention Stability Index</w:t>
            </w:r>
          </w:p>
        </w:tc>
        <w:tc>
          <w:tcPr>
            <w:tcW w:type="dxa" w:w="2520"/>
          </w:tcPr>
          <w:p>
            <w:r>
              <w:t>81.0%</w:t>
            </w:r>
          </w:p>
        </w:tc>
        <w:tc>
          <w:tcPr>
            <w:tcW w:type="dxa" w:w="2520"/>
          </w:tcPr>
          <w:p>
            <w:r>
              <w:t>78.6%</w:t>
            </w:r>
          </w:p>
        </w:tc>
        <w:tc>
          <w:tcPr>
            <w:tcW w:type="dxa" w:w="2520"/>
          </w:tcPr>
          <w:p>
            <w:r>
              <w:t>Inverse std deviation</w:t>
            </w:r>
          </w:p>
        </w:tc>
      </w:tr>
      <w:tr>
        <w:tc>
          <w:tcPr>
            <w:tcW w:type="dxa" w:w="2520"/>
            <w:shd w:fill="F4F7FA"/>
          </w:tcPr>
          <w:p>
            <w:r>
              <w:t>Dominant Category</w:t>
            </w:r>
          </w:p>
        </w:tc>
        <w:tc>
          <w:tcPr>
            <w:tcW w:type="dxa" w:w="2520"/>
            <w:shd w:fill="F4F7FA"/>
          </w:tcPr>
          <w:p>
            <w:r>
              <w:t>Moderate Attention</w:t>
            </w:r>
          </w:p>
        </w:tc>
        <w:tc>
          <w:tcPr>
            <w:tcW w:type="dxa" w:w="2520"/>
            <w:shd w:fill="F4F7FA"/>
          </w:tcPr>
          <w:p>
            <w:r>
              <w:t>Moderate Attention</w:t>
            </w:r>
          </w:p>
        </w:tc>
        <w:tc>
          <w:tcPr>
            <w:tcW w:type="dxa" w:w="2520"/>
            <w:shd w:fill="F4F7FA"/>
          </w:tcPr>
          <w:p>
            <w:r>
              <w:t>5-Level rule-based state</w:t>
            </w:r>
          </w:p>
        </w:tc>
      </w:tr>
    </w:tbl>
    <w:p>
      <w:pPr>
        <w:spacing w:after="200"/>
      </w:pPr>
    </w:p>
    <w:p>
      <w:r>
        <w:t>Real-World Systematic Ablation Study Results: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00A896"/>
          </w:tcPr>
          <w:p>
            <w:r>
              <w:rPr>
                <w:b/>
                <w:color w:val="FFFFFF"/>
              </w:rPr>
              <w:t>Preprocessing Pipeline</w:t>
            </w:r>
          </w:p>
        </w:tc>
        <w:tc>
          <w:tcPr>
            <w:tcW w:type="dxa" w:w="2016"/>
            <w:shd w:fill="00A896"/>
          </w:tcPr>
          <w:p>
            <w:r>
              <w:rPr>
                <w:b/>
                <w:color w:val="FFFFFF"/>
              </w:rPr>
              <w:t>Mean Attention</w:t>
            </w:r>
          </w:p>
        </w:tc>
        <w:tc>
          <w:tcPr>
            <w:tcW w:type="dxa" w:w="2016"/>
            <w:shd w:fill="00A896"/>
          </w:tcPr>
          <w:p>
            <w:r>
              <w:rPr>
                <w:b/>
                <w:color w:val="FFFFFF"/>
              </w:rPr>
              <w:t>Peak Attention</w:t>
            </w:r>
          </w:p>
        </w:tc>
        <w:tc>
          <w:tcPr>
            <w:tcW w:type="dxa" w:w="2016"/>
            <w:shd w:fill="00A896"/>
          </w:tcPr>
          <w:p>
            <w:r>
              <w:rPr>
                <w:b/>
                <w:color w:val="FFFFFF"/>
              </w:rPr>
              <w:t>Stability Index</w:t>
            </w:r>
          </w:p>
        </w:tc>
        <w:tc>
          <w:tcPr>
            <w:tcW w:type="dxa" w:w="2016"/>
            <w:shd w:fill="00A896"/>
          </w:tcPr>
          <w:p>
            <w:r>
              <w:rPr>
                <w:b/>
                <w:color w:val="FFFFFF"/>
              </w:rPr>
              <w:t>Dominant Category</w:t>
            </w:r>
          </w:p>
        </w:tc>
      </w:tr>
      <w:tr>
        <w:tc>
          <w:tcPr>
            <w:tcW w:type="dxa" w:w="2016"/>
            <w:shd w:fill="E6F4F1"/>
          </w:tcPr>
          <w:p>
            <w:r>
              <w:t>Raw Signal</w:t>
            </w:r>
          </w:p>
        </w:tc>
        <w:tc>
          <w:tcPr>
            <w:tcW w:type="dxa" w:w="2016"/>
            <w:shd w:fill="E6F4F1"/>
          </w:tcPr>
          <w:p>
            <w:r>
              <w:t>52.9 / 100</w:t>
            </w:r>
          </w:p>
        </w:tc>
        <w:tc>
          <w:tcPr>
            <w:tcW w:type="dxa" w:w="2016"/>
            <w:shd w:fill="E6F4F1"/>
          </w:tcPr>
          <w:p>
            <w:r>
              <w:t>94.7</w:t>
            </w:r>
          </w:p>
        </w:tc>
        <w:tc>
          <w:tcPr>
            <w:tcW w:type="dxa" w:w="2016"/>
            <w:shd w:fill="E6F4F1"/>
          </w:tcPr>
          <w:p>
            <w:r>
              <w:t>79.6%</w:t>
            </w:r>
          </w:p>
        </w:tc>
        <w:tc>
          <w:tcPr>
            <w:tcW w:type="dxa" w:w="2016"/>
            <w:shd w:fill="E6F4F1"/>
          </w:tcPr>
          <w:p>
            <w:r>
              <w:t>High Attention</w:t>
            </w:r>
          </w:p>
        </w:tc>
      </w:tr>
      <w:tr>
        <w:tc>
          <w:tcPr>
            <w:tcW w:type="dxa" w:w="2016"/>
          </w:tcPr>
          <w:p>
            <w:r>
              <w:t>Bandpass Only</w:t>
            </w:r>
          </w:p>
        </w:tc>
        <w:tc>
          <w:tcPr>
            <w:tcW w:type="dxa" w:w="2016"/>
          </w:tcPr>
          <w:p>
            <w:r>
              <w:t>52.9 / 100</w:t>
            </w:r>
          </w:p>
        </w:tc>
        <w:tc>
          <w:tcPr>
            <w:tcW w:type="dxa" w:w="2016"/>
          </w:tcPr>
          <w:p>
            <w:r>
              <w:t>94.7</w:t>
            </w:r>
          </w:p>
        </w:tc>
        <w:tc>
          <w:tcPr>
            <w:tcW w:type="dxa" w:w="2016"/>
          </w:tcPr>
          <w:p>
            <w:r>
              <w:t>79.6%</w:t>
            </w:r>
          </w:p>
        </w:tc>
        <w:tc>
          <w:tcPr>
            <w:tcW w:type="dxa" w:w="2016"/>
          </w:tcPr>
          <w:p>
            <w:r>
              <w:t>High Attention</w:t>
            </w:r>
          </w:p>
        </w:tc>
      </w:tr>
      <w:tr>
        <w:tc>
          <w:tcPr>
            <w:tcW w:type="dxa" w:w="2016"/>
          </w:tcPr>
          <w:p>
            <w:r>
              <w:t>Bandpass + Notch</w:t>
            </w:r>
          </w:p>
        </w:tc>
        <w:tc>
          <w:tcPr>
            <w:tcW w:type="dxa" w:w="2016"/>
          </w:tcPr>
          <w:p>
            <w:r>
              <w:t>52.9 / 100</w:t>
            </w:r>
          </w:p>
        </w:tc>
        <w:tc>
          <w:tcPr>
            <w:tcW w:type="dxa" w:w="2016"/>
          </w:tcPr>
          <w:p>
            <w:r>
              <w:t>94.7</w:t>
            </w:r>
          </w:p>
        </w:tc>
        <w:tc>
          <w:tcPr>
            <w:tcW w:type="dxa" w:w="2016"/>
          </w:tcPr>
          <w:p>
            <w:r>
              <w:t>79.6%</w:t>
            </w:r>
          </w:p>
        </w:tc>
        <w:tc>
          <w:tcPr>
            <w:tcW w:type="dxa" w:w="2016"/>
          </w:tcPr>
          <w:p>
            <w:r>
              <w:t>High Attention</w:t>
            </w:r>
          </w:p>
        </w:tc>
      </w:tr>
      <w:tr>
        <w:tc>
          <w:tcPr>
            <w:tcW w:type="dxa" w:w="2016"/>
          </w:tcPr>
          <w:p>
            <w:r>
              <w:t>Full Preprocessing</w:t>
            </w:r>
          </w:p>
        </w:tc>
        <w:tc>
          <w:tcPr>
            <w:tcW w:type="dxa" w:w="2016"/>
          </w:tcPr>
          <w:p>
            <w:r>
              <w:t>51.4 / 100</w:t>
            </w:r>
          </w:p>
        </w:tc>
        <w:tc>
          <w:tcPr>
            <w:tcW w:type="dxa" w:w="2016"/>
          </w:tcPr>
          <w:p>
            <w:r>
              <w:t>95.3</w:t>
            </w:r>
          </w:p>
        </w:tc>
        <w:tc>
          <w:tcPr>
            <w:tcW w:type="dxa" w:w="2016"/>
          </w:tcPr>
          <w:p>
            <w:r>
              <w:t>79.8%</w:t>
            </w:r>
          </w:p>
        </w:tc>
        <w:tc>
          <w:tcPr>
            <w:tcW w:type="dxa" w:w="2016"/>
          </w:tcPr>
          <w:p>
            <w:r>
              <w:t>High Attention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0052CC"/>
        </w:rPr>
        <w:t>5. Mathematical Equations &amp; Academic References</w:t>
      </w:r>
    </w:p>
    <w:p>
      <w:pPr>
        <w:spacing w:after="200"/>
      </w:pPr>
      <w:r>
        <w:t>• 4th Order Zero-Phase Butterworth Bandpass: |H(jw)|^2 = 1 / [ 1 + ((w^2 - w0^2)/(w*B))^(2N) ]</w:t>
        <w:br/>
        <w:t>• Hjorth Activity: var(x(t)) = sigma_x^2 | Mobility: sigma_x' / sigma_x | Complexity: Mobility(dx/dt) / Mobility(x(t))</w:t>
        <w:br/>
        <w:t>• Welch PSD: PSD(f) = (1/K) sum_{k=1}^K |FFT(x_k * w)|^2 / (L * U)</w:t>
        <w:br/>
        <w:t>• Spectral Edge Frequency (SEF95): Integral_0^{f95} PSD(f) df = 0.95 * Total_Power</w:t>
        <w:br/>
        <w:t>• Attention Ratio: Beta / Theta = Power(13-30Hz) / Power(4-8Hz)</w:t>
        <w:br/>
        <w:t>• Cohen's d: d = (Mean_1 - Mean_2) / s_pooled</w:t>
        <w:br/>
        <w:t>• Bland-Altman Limits of Agreement: Mean_Bias +/- 1.96 * SD_diff</w:t>
      </w:r>
    </w:p>
    <w:p>
      <w:r>
        <w:t>Academic References:</w:t>
        <w:br/>
        <w:t>1. Goldberger, A. L., et al. (2000). 'PhysioBank, PhysioToolkit, and PhysioNet: Components of a new research resource for complex physiologic signals.' Circulation, 101(23), e215-e220.</w:t>
        <w:br/>
        <w:t>2. Coelli, S., et al. (2018). 'EEG-based indices of attention during online learning tasks.' IEEE Transactions on Biomedical Engineering.</w:t>
        <w:br/>
        <w:t>3. Hjorth, B. (1970). 'EEG analysis based on time domain properties.' Electroencephalography and Clinical Neurophysiology.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E29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