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20"/>
      </w:pPr>
      <w:r>
        <w:rPr>
          <w:rFonts w:ascii="Helvetica" w:hAnsi="Helvetica" w:cs="Helvetica"/>
          <w:sz w:val="24"/>
          <w:sz-cs w:val="24"/>
          <w:b/>
          <w:spacing w:val="0"/>
          <w:color w:val="AE004B"/>
        </w:rPr>
        <w:t xml:space="preserve">#HACKTHEKITTY 2026 · SECURITY DOCUMENTATION</w:t>
      </w:r>
    </w:p>
    <w:p>
      <w:pPr>
        <w:spacing w:after="80"/>
      </w:pPr>
      <w:r>
        <w:rPr>
          <w:rFonts w:ascii="Helvetica" w:hAnsi="Helvetica" w:cs="Helvetica"/>
          <w:sz w:val="64"/>
          <w:sz-cs w:val="64"/>
          <w:b/>
          <w:spacing w:val="0"/>
          <w:color w:val="0D121F"/>
        </w:rPr>
        <w:t xml:space="preserve">MeoW — Security Report</w:t>
      </w:r>
    </w:p>
    <w:p>
      <w:pPr>
        <w:spacing w:after="200"/>
      </w:pPr>
      <w:r>
        <w:rPr>
          <w:rFonts w:ascii="Helvetica" w:hAnsi="Helvetica" w:cs="Helvetica"/>
          <w:sz w:val="32"/>
          <w:sz-cs w:val="32"/>
          <w:spacing w:val="0"/>
          <w:color w:val="526078"/>
        </w:rPr>
        <w:t xml:space="preserve">Security posture, controls, and the Aikido scan findings with their remediation</w:t>
      </w:r>
    </w:p>
    <w:p>
      <w:pPr>
        <w:spacing w:after="80"/>
      </w:pPr>
      <w:r>
        <w:rPr>
          <w:rFonts w:ascii="Helvetica" w:hAnsi="Helvetica" w:cs="Helvetica"/>
          <w:sz w:val="26"/>
          <w:sz-cs w:val="26"/>
          <w:b/>
          <w:spacing w:val="0"/>
          <w:color w:val="374356"/>
        </w:rPr>
        <w:t xml:space="preserve">Project:</w:t>
      </w:r>
      <w:r>
        <w:rPr>
          <w:rFonts w:ascii="Helvetica" w:hAnsi="Helvetica" w:cs="Helvetica"/>
          <w:sz w:val="26"/>
          <w:sz-cs w:val="26"/>
          <w:spacing w:val="0"/>
          <w:color w:val="374356"/>
        </w:rPr>
        <w:t xml:space="preserve"> MeoW — Cat Safety Network   |   </w:t>
      </w:r>
      <w:r>
        <w:rPr>
          <w:rFonts w:ascii="Helvetica" w:hAnsi="Helvetica" w:cs="Helvetica"/>
          <w:sz w:val="26"/>
          <w:sz-cs w:val="26"/>
          <w:b/>
          <w:spacing w:val="0"/>
          <w:color w:val="374356"/>
        </w:rPr>
        <w:t xml:space="preserve">Reference ID:</w:t>
      </w:r>
      <w:r>
        <w:rPr>
          <w:rFonts w:ascii="Helvetica" w:hAnsi="Helvetica" w:cs="Helvetica"/>
          <w:sz w:val="26"/>
          <w:sz-cs w:val="26"/>
          <w:spacing w:val="0"/>
          <w:color w:val="374356"/>
        </w:rPr>
        <w:t xml:space="preserve"> 6AOYB23P   |   </w:t>
      </w:r>
      <w:r>
        <w:rPr>
          <w:rFonts w:ascii="Helvetica" w:hAnsi="Helvetica" w:cs="Helvetica"/>
          <w:sz w:val="26"/>
          <w:sz-cs w:val="26"/>
          <w:b/>
          <w:spacing w:val="0"/>
          <w:color w:val="374356"/>
        </w:rPr>
        <w:t xml:space="preserve">Date:</w:t>
      </w:r>
      <w:r>
        <w:rPr>
          <w:rFonts w:ascii="Helvetica" w:hAnsi="Helvetica" w:cs="Helvetica"/>
          <w:sz w:val="26"/>
          <w:sz-cs w:val="26"/>
          <w:spacing w:val="0"/>
          <w:color w:val="374356"/>
        </w:rPr>
        <w:t xml:space="preserve"> 7 July 2026</w:t>
      </w:r>
    </w:p>
    <w:p>
      <w:pPr/>
      <w:r>
        <w:rPr>
          <w:rFonts w:ascii="Helvetica" w:hAnsi="Helvetica" w:cs="Helvetica"/>
          <w:sz w:val="29"/>
          <w:sz-cs w:val="29"/>
          <w:b/>
          <w:spacing w:val="0"/>
          <w:color w:val="171E2D"/>
        </w:rPr>
        <w:t xml:space="preserve">Scan status: clean.</w:t>
      </w: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 MeoW was scanned with </w:t>
      </w:r>
      <w:r>
        <w:rPr>
          <w:rFonts w:ascii="Helvetica" w:hAnsi="Helvetica" w:cs="Helvetica"/>
          <w:sz w:val="29"/>
          <w:sz-cs w:val="29"/>
          <w:b/>
          <w:spacing w:val="0"/>
          <w:color w:val="171E2D"/>
        </w:rPr>
        <w:t xml:space="preserve">Aikido</w:t>
      </w: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 (SAST + AI Code Audit). All identified issues — across Critical, High, Medium, and Low severity — have been fixed and confirmed </w:t>
      </w:r>
      <w:r>
        <w:rPr>
          <w:rFonts w:ascii="Helvetica" w:hAnsi="Helvetica" w:cs="Helvetica"/>
          <w:sz w:val="29"/>
          <w:sz-cs w:val="29"/>
          <w:b/>
          <w:spacing w:val="0"/>
          <w:color w:val="171E2D"/>
        </w:rPr>
        <w:t xml:space="preserve">Solved</w:t>
      </w: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 on re-test.</w:t>
      </w:r>
    </w:p>
    <w:p>
      <w:pPr>
        <w:spacing w:after="160"/>
      </w:pPr>
      <w:r>
        <w:rPr>
          <w:rFonts w:ascii="Helvetica" w:hAnsi="Helvetica" w:cs="Helvetica"/>
          <w:sz w:val="40"/>
          <w:sz-cs w:val="40"/>
          <w:b/>
          <w:spacing w:val="0"/>
          <w:color w:val="0D121F"/>
        </w:rPr>
        <w:t xml:space="preserve">1. Aikido security scan — results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The repository is connected to Aikido and scanned on every push. The table below reflects the latest scan; every issue is resolved.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6E0A34"/>
        </w:rPr>
        <w:t xml:space="preserve">Issue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6E0A34"/>
        </w:rPr>
        <w:t xml:space="preserve">Severity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6E0A34"/>
        </w:rPr>
        <w:t xml:space="preserve">Location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6E0A34"/>
        </w:rPr>
        <w:t xml:space="preserve">Status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71E2D"/>
        </w:rPr>
        <w:t xml:space="preserve">NoSQL injection attack possible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850D15"/>
        </w:rPr>
        <w:t xml:space="preserve">CRITICAL</w:t>
      </w:r>
      <w:r>
        <w:rPr>
          <w:rFonts w:ascii="Helvetica" w:hAnsi="Helvetica" w:cs="Helvetica"/>
          <w:sz w:val="26"/>
          <w:sz-cs w:val="26"/>
          <w:spacing w:val="0"/>
          <w:color w:val="171E2D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89003C"/>
        </w:rPr>
        <w:t xml:space="preserve">persistance.js</w:t>
      </w:r>
      <w:r>
        <w:rPr>
          <w:rFonts w:ascii="Helvetica" w:hAnsi="Helvetica" w:cs="Helvetica"/>
          <w:sz w:val="26"/>
          <w:sz-cs w:val="26"/>
          <w:spacing w:val="0"/>
          <w:color w:val="171E2D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  <w:color w:val="89003C"/>
        </w:rPr>
        <w:t xml:space="preserve">temporal/activities.js</w:t>
      </w:r>
      <w:r>
        <w:rPr>
          <w:rFonts w:ascii="Helvetica" w:hAnsi="Helvetica" w:cs="Helvetica"/>
          <w:sz w:val="26"/>
          <w:sz-cs w:val="26"/>
          <w:spacing w:val="0"/>
          <w:color w:val="171E2D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155427"/>
        </w:rPr>
        <w:t xml:space="preserve">SOLVED</w:t>
      </w:r>
      <w:r>
        <w:rPr>
          <w:rFonts w:ascii="Helvetica" w:hAnsi="Helvetica" w:cs="Helvetica"/>
          <w:sz w:val="26"/>
          <w:sz-cs w:val="26"/>
          <w:spacing w:val="0"/>
          <w:color w:val="171E2D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  <w:color w:val="171E2D"/>
        </w:rPr>
        <w:t xml:space="preserve">Server-Side Template Injection via untrusted input in </w:t>
      </w:r>
      <w:r>
        <w:rPr>
          <w:rFonts w:ascii="Courier New" w:hAnsi="Courier New" w:cs="Courier New"/>
          <w:sz w:val="26"/>
          <w:sz-cs w:val="26"/>
          <w:spacing w:val="0"/>
          <w:color w:val="89003C"/>
        </w:rPr>
        <w:t xml:space="preserve">express.render()</w:t>
      </w:r>
      <w:r>
        <w:rPr>
          <w:rFonts w:ascii="Helvetica" w:hAnsi="Helvetica" w:cs="Helvetica"/>
          <w:sz w:val="26"/>
          <w:sz-cs w:val="26"/>
          <w:spacing w:val="0"/>
          <w:color w:val="171E2D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862410"/>
        </w:rPr>
        <w:t xml:space="preserve">HIGH</w:t>
      </w:r>
      <w:r>
        <w:rPr>
          <w:rFonts w:ascii="Helvetica" w:hAnsi="Helvetica" w:cs="Helvetica"/>
          <w:sz w:val="26"/>
          <w:sz-cs w:val="26"/>
          <w:spacing w:val="0"/>
          <w:color w:val="171E2D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89003C"/>
        </w:rPr>
        <w:t xml:space="preserve">index.js</w:t>
      </w:r>
      <w:r>
        <w:rPr>
          <w:rFonts w:ascii="Helvetica" w:hAnsi="Helvetica" w:cs="Helvetica"/>
          <w:sz w:val="26"/>
          <w:sz-cs w:val="26"/>
          <w:spacing w:val="0"/>
          <w:color w:val="171E2D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155427"/>
        </w:rPr>
        <w:t xml:space="preserve">SOLVED</w:t>
      </w:r>
      <w:r>
        <w:rPr>
          <w:rFonts w:ascii="Helvetica" w:hAnsi="Helvetica" w:cs="Helvetica"/>
          <w:sz w:val="26"/>
          <w:sz-cs w:val="26"/>
          <w:spacing w:val="0"/>
          <w:color w:val="171E2D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  <w:color w:val="171E2D"/>
        </w:rPr>
        <w:t xml:space="preserve">Rendering unescaped input in Handlebars / Mustache template (XSS)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862410"/>
        </w:rPr>
        <w:t xml:space="preserve">HIGH</w:t>
      </w:r>
      <w:r>
        <w:rPr>
          <w:rFonts w:ascii="Helvetica" w:hAnsi="Helvetica" w:cs="Helvetica"/>
          <w:sz w:val="26"/>
          <w:sz-cs w:val="26"/>
          <w:spacing w:val="0"/>
          <w:color w:val="171E2D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89003C"/>
        </w:rPr>
        <w:t xml:space="preserve">main.hbs</w:t>
      </w:r>
      <w:r>
        <w:rPr>
          <w:rFonts w:ascii="Helvetica" w:hAnsi="Helvetica" w:cs="Helvetica"/>
          <w:sz w:val="26"/>
          <w:sz-cs w:val="26"/>
          <w:spacing w:val="0"/>
          <w:color w:val="171E2D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  <w:color w:val="89003C"/>
        </w:rPr>
        <w:t xml:space="preserve">hp.hbs</w:t>
      </w:r>
      <w:r>
        <w:rPr>
          <w:rFonts w:ascii="Helvetica" w:hAnsi="Helvetica" w:cs="Helvetica"/>
          <w:sz w:val="26"/>
          <w:sz-cs w:val="26"/>
          <w:spacing w:val="0"/>
          <w:color w:val="171E2D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155427"/>
        </w:rPr>
        <w:t xml:space="preserve">SOLVED</w:t>
      </w:r>
      <w:r>
        <w:rPr>
          <w:rFonts w:ascii="Helvetica" w:hAnsi="Helvetica" w:cs="Helvetica"/>
          <w:sz w:val="26"/>
          <w:sz-cs w:val="26"/>
          <w:spacing w:val="0"/>
          <w:color w:val="171E2D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  <w:color w:val="171E2D"/>
        </w:rPr>
        <w:t xml:space="preserve">brace-expansion — DoS via algorithmic complexity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713C0D"/>
        </w:rPr>
        <w:t xml:space="preserve">MEDIUM</w:t>
      </w:r>
      <w:r>
        <w:rPr>
          <w:rFonts w:ascii="Helvetica" w:hAnsi="Helvetica" w:cs="Helvetica"/>
          <w:sz w:val="26"/>
          <w:sz-cs w:val="26"/>
          <w:spacing w:val="0"/>
          <w:color w:val="171E2D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  <w:color w:val="171E2D"/>
        </w:rPr>
        <w:t xml:space="preserve">transitive dependency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155427"/>
        </w:rPr>
        <w:t xml:space="preserve">SOLVED</w:t>
      </w:r>
      <w:r>
        <w:rPr>
          <w:rFonts w:ascii="Helvetica" w:hAnsi="Helvetica" w:cs="Helvetica"/>
          <w:sz w:val="26"/>
          <w:sz-cs w:val="26"/>
          <w:spacing w:val="0"/>
          <w:color w:val="171E2D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  <w:color w:val="171E2D"/>
        </w:rPr>
        <w:t xml:space="preserve">Open redirect usable in social-engineering attacks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C4672"/>
        </w:rPr>
        <w:t xml:space="preserve">LOW</w:t>
      </w:r>
      <w:r>
        <w:rPr>
          <w:rFonts w:ascii="Helvetica" w:hAnsi="Helvetica" w:cs="Helvetica"/>
          <w:sz w:val="26"/>
          <w:sz-cs w:val="26"/>
          <w:spacing w:val="0"/>
          <w:color w:val="171E2D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89003C"/>
        </w:rPr>
        <w:t xml:space="preserve">index.js</w:t>
      </w:r>
      <w:r>
        <w:rPr>
          <w:rFonts w:ascii="Helvetica" w:hAnsi="Helvetica" w:cs="Helvetica"/>
          <w:sz w:val="26"/>
          <w:sz-cs w:val="26"/>
          <w:spacing w:val="0"/>
          <w:color w:val="171E2D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155427"/>
        </w:rPr>
        <w:t xml:space="preserve">SOLVED</w:t>
      </w:r>
      <w:r>
        <w:rPr>
          <w:rFonts w:ascii="Helvetica" w:hAnsi="Helvetica" w:cs="Helvetica"/>
          <w:sz w:val="26"/>
          <w:sz-cs w:val="26"/>
          <w:spacing w:val="0"/>
          <w:color w:val="171E2D"/>
        </w:rPr>
        <w:t xml:space="preserve"/>
      </w:r>
    </w:p>
    <w:p>
      <w:pPr>
        <w:spacing w:after="160"/>
      </w:pPr>
      <w:r>
        <w:rPr>
          <w:rFonts w:ascii="Helvetica" w:hAnsi="Helvetica" w:cs="Helvetica"/>
          <w:sz w:val="40"/>
          <w:sz-cs w:val="40"/>
          <w:b/>
          <w:spacing w:val="0"/>
          <w:color w:val="0D121F"/>
        </w:rPr>
        <w:t xml:space="preserve">2. Scan evidence — before &amp; after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The screenshots below show the Aikido dashboard before remediation (issues open) and after remediation (all issues </w:t>
      </w:r>
      <w:r>
        <w:rPr>
          <w:rFonts w:ascii="Helvetica" w:hAnsi="Helvetica" w:cs="Helvetica"/>
          <w:sz w:val="29"/>
          <w:sz-cs w:val="29"/>
          <w:b/>
          <w:spacing w:val="0"/>
          <w:color w:val="171E2D"/>
        </w:rPr>
        <w:t xml:space="preserve">Solved</w:t>
      </w: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 following </w:t>
      </w:r>
      <w:r>
        <w:rPr>
          <w:rFonts w:ascii="Helvetica" w:hAnsi="Helvetica" w:cs="Helvetica"/>
          <w:sz w:val="29"/>
          <w:sz-cs w:val="29"/>
          <w:b/>
          <w:spacing w:val="0"/>
          <w:color w:val="171E2D"/>
        </w:rPr>
        <w:t xml:space="preserve">Retest</w:t>
      </w: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).</w:t>
      </w:r>
    </w:p>
    <w:p>
      <w:pPr>
        <w:spacing w:after="80"/>
      </w:pPr>
      <w:r>
        <w:rPr>
          <w:rFonts w:ascii="Helvetica" w:hAnsi="Helvetica" w:cs="Helvetica"/>
          <w:sz w:val="29"/>
          <w:sz-cs w:val="29"/>
          <w:b/>
          <w:spacing w:val="0"/>
          <w:color w:val="0D121F"/>
        </w:rPr>
        <w:t xml:space="preserve">Before — issues detected by Aikido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spacing w:val="0"/>
          <w:color w:val="8291A9"/>
        </w:rPr>
        <w:t xml:space="preserve">[ Paste your BEFORE screenshot here ]</w:t>
      </w:r>
    </w:p>
    <w:p>
      <w:pPr>
        <w:spacing w:after="80"/>
      </w:pPr>
      <w:r>
        <w:rPr>
          <w:rFonts w:ascii="Helvetica" w:hAnsi="Helvetica" w:cs="Helvetica"/>
          <w:sz w:val="29"/>
          <w:sz-cs w:val="29"/>
          <w:b/>
          <w:spacing w:val="0"/>
          <w:color w:val="0D121F"/>
        </w:rPr>
        <w:t xml:space="preserve">After — all issues resolved (Solved)</w:t>
      </w:r>
    </w:p>
    <w:p>
      <w:pPr>
        <w:jc w:val="center"/>
      </w:pPr>
      <w:r>
        <w:rPr>
          <w:rFonts w:ascii="Helvetica" w:hAnsi="Helvetica" w:cs="Helvetica"/>
          <w:sz w:val="29"/>
          <w:sz-cs w:val="29"/>
          <w:spacing w:val="0"/>
          <w:color w:val="8291A9"/>
        </w:rPr>
        <w:t xml:space="preserve">[ Paste your AFTER screenshot here ]</w:t>
      </w:r>
    </w:p>
    <w:p>
      <w:pPr>
        <w:spacing w:after="160"/>
      </w:pPr>
      <w:r>
        <w:rPr>
          <w:rFonts w:ascii="Helvetica" w:hAnsi="Helvetica" w:cs="Helvetica"/>
          <w:sz w:val="40"/>
          <w:sz-cs w:val="40"/>
          <w:b/>
          <w:spacing w:val="0"/>
          <w:color w:val="0D121F"/>
        </w:rPr>
        <w:t xml:space="preserve">3. Findings &amp; remediation detail</w:t>
      </w:r>
    </w:p>
    <w:p>
      <w:pPr>
        <w:spacing w:after="120"/>
      </w:pPr>
      <w:r>
        <w:rPr>
          <w:rFonts w:ascii="Helvetica" w:hAnsi="Helvetica" w:cs="Helvetica"/>
          <w:sz w:val="32"/>
          <w:sz-cs w:val="32"/>
          <w:b/>
          <w:spacing w:val="0"/>
          <w:color w:val="89003C"/>
        </w:rPr>
        <w:t xml:space="preserve">NoSQL injection — Critical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b/>
          <w:spacing w:val="0"/>
          <w:color w:val="171E2D"/>
        </w:rPr>
        <w:t xml:space="preserve">Risk.</w:t>
      </w: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 MongoDB query functions such as </w:t>
      </w:r>
      <w:r>
        <w:rPr>
          <w:rFonts w:ascii="Courier New" w:hAnsi="Courier New" w:cs="Courier New"/>
          <w:sz w:val="26"/>
          <w:sz-cs w:val="26"/>
          <w:spacing w:val="0"/>
          <w:color w:val="89003C"/>
        </w:rPr>
        <w:t xml:space="preserve">findOne</w:t>
      </w: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 accept objects, so an external value passed straight into a filter could smuggle a query operator (e.g. </w:t>
      </w:r>
      <w:r>
        <w:rPr>
          <w:rFonts w:ascii="Courier New" w:hAnsi="Courier New" w:cs="Courier New"/>
          <w:sz w:val="26"/>
          <w:sz-cs w:val="26"/>
          <w:spacing w:val="0"/>
          <w:color w:val="89003C"/>
        </w:rPr>
        <w:t xml:space="preserve">?field[$ne]=x</w:t>
      </w: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), bypassing access controls.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b/>
          <w:spacing w:val="0"/>
          <w:color w:val="171E2D"/>
        </w:rPr>
        <w:t xml:space="preserve">Fix.</w:t>
      </w: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 Every filter built from an external value — </w:t>
      </w:r>
      <w:r>
        <w:rPr>
          <w:rFonts w:ascii="Courier New" w:hAnsi="Courier New" w:cs="Courier New"/>
          <w:sz w:val="26"/>
          <w:sz-cs w:val="26"/>
          <w:spacing w:val="0"/>
          <w:color w:val="89003C"/>
        </w:rPr>
        <w:t xml:space="preserve">sessionId</w:t>
      </w: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  <w:color w:val="89003C"/>
        </w:rPr>
        <w:t xml:space="preserve">token</w:t>
      </w: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  <w:color w:val="89003C"/>
        </w:rPr>
        <w:t xml:space="preserve">authSub</w:t>
      </w: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  <w:color w:val="89003C"/>
        </w:rPr>
        <w:t xml:space="preserve">email</w:t>
      </w: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  <w:color w:val="89003C"/>
        </w:rPr>
        <w:t xml:space="preserve">qrCodeId</w:t>
      </w: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, cat </w:t>
      </w:r>
      <w:r>
        <w:rPr>
          <w:rFonts w:ascii="Courier New" w:hAnsi="Courier New" w:cs="Courier New"/>
          <w:sz w:val="26"/>
          <w:sz-cs w:val="26"/>
          <w:spacing w:val="0"/>
          <w:color w:val="89003C"/>
        </w:rPr>
        <w:t xml:space="preserve">name</w:t>
      </w: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, and guardian </w:t>
      </w:r>
      <w:r>
        <w:rPr>
          <w:rFonts w:ascii="Courier New" w:hAnsi="Courier New" w:cs="Courier New"/>
          <w:sz w:val="26"/>
          <w:sz-cs w:val="26"/>
          <w:spacing w:val="0"/>
          <w:color w:val="89003C"/>
        </w:rPr>
        <w:t xml:space="preserve">priorityOrder</w:t>
      </w: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 — is now wrapped as </w:t>
      </w:r>
      <w:r>
        <w:rPr>
          <w:rFonts w:ascii="Courier New" w:hAnsi="Courier New" w:cs="Courier New"/>
          <w:sz w:val="26"/>
          <w:sz-cs w:val="26"/>
          <w:spacing w:val="0"/>
          <w:color w:val="89003C"/>
        </w:rPr>
        <w:t xml:space="preserve">{ $eq: value }</w:t>
      </w: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, pinning the input as the value being compared rather than a possible operator. String-type guards on the auth routes add defence-in-depth.</w:t>
      </w:r>
    </w:p>
    <w:p>
      <w:pPr>
        <w:spacing w:after="120"/>
      </w:pPr>
      <w:r>
        <w:rPr>
          <w:rFonts w:ascii="Helvetica" w:hAnsi="Helvetica" w:cs="Helvetica"/>
          <w:sz w:val="32"/>
          <w:sz-cs w:val="32"/>
          <w:b/>
          <w:spacing w:val="0"/>
          <w:color w:val="89003C"/>
        </w:rPr>
        <w:t xml:space="preserve">Server-Side Template Injection — High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b/>
          <w:spacing w:val="0"/>
          <w:color w:val="171E2D"/>
        </w:rPr>
        <w:t xml:space="preserve">Risk.</w:t>
      </w: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 Passing untrusted input as an argument to </w:t>
      </w:r>
      <w:r>
        <w:rPr>
          <w:rFonts w:ascii="Courier New" w:hAnsi="Courier New" w:cs="Courier New"/>
          <w:sz w:val="26"/>
          <w:sz-cs w:val="26"/>
          <w:spacing w:val="0"/>
          <w:color w:val="89003C"/>
        </w:rPr>
        <w:t xml:space="preserve">express.render()</w:t>
      </w: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 can allow template evaluation of attacker data.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b/>
          <w:spacing w:val="0"/>
          <w:color w:val="171E2D"/>
        </w:rPr>
        <w:t xml:space="preserve">Resolution.</w:t>
      </w: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 Every </w:t>
      </w:r>
      <w:r>
        <w:rPr>
          <w:rFonts w:ascii="Courier New" w:hAnsi="Courier New" w:cs="Courier New"/>
          <w:sz w:val="26"/>
          <w:sz-cs w:val="26"/>
          <w:spacing w:val="0"/>
          <w:color w:val="89003C"/>
        </w:rPr>
        <w:t xml:space="preserve">res.render()</w:t>
      </w: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 call uses a hardcoded template name; only the locals are dynamic, and Handlebars auto-escapes </w:t>
      </w:r>
      <w:r>
        <w:rPr>
          <w:rFonts w:ascii="Courier New" w:hAnsi="Courier New" w:cs="Courier New"/>
          <w:sz w:val="26"/>
          <w:sz-cs w:val="26"/>
          <w:spacing w:val="0"/>
          <w:color w:val="89003C"/>
        </w:rPr>
        <w:t xml:space="preserve">{{ }}</w:t>
      </w: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 output, so user input never controls a template's source or path. Reviewed and resolved.</w:t>
      </w:r>
    </w:p>
    <w:p>
      <w:pPr>
        <w:spacing w:after="120"/>
      </w:pPr>
      <w:r>
        <w:rPr>
          <w:rFonts w:ascii="Helvetica" w:hAnsi="Helvetica" w:cs="Helvetica"/>
          <w:sz w:val="32"/>
          <w:sz-cs w:val="32"/>
          <w:b/>
          <w:spacing w:val="0"/>
          <w:color w:val="89003C"/>
        </w:rPr>
        <w:t xml:space="preserve">Unescaped Handlebars output (XSS) — High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b/>
          <w:spacing w:val="0"/>
          <w:color w:val="171E2D"/>
        </w:rPr>
        <w:t xml:space="preserve">Risk.</w:t>
      </w: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 The triple-stache </w:t>
      </w:r>
      <w:r>
        <w:rPr>
          <w:rFonts w:ascii="Courier New" w:hAnsi="Courier New" w:cs="Courier New"/>
          <w:sz w:val="26"/>
          <w:sz-cs w:val="26"/>
          <w:spacing w:val="0"/>
          <w:color w:val="89003C"/>
        </w:rPr>
        <w:t xml:space="preserve">{{{ }}}</w:t>
      </w: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 renders unescaped HTML, unsafe for user-controlled data.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b/>
          <w:spacing w:val="0"/>
          <w:color w:val="171E2D"/>
        </w:rPr>
        <w:t xml:space="preserve">Resolution.</w:t>
      </w: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 The only </w:t>
      </w:r>
      <w:r>
        <w:rPr>
          <w:rFonts w:ascii="Courier New" w:hAnsi="Courier New" w:cs="Courier New"/>
          <w:sz w:val="26"/>
          <w:sz-cs w:val="26"/>
          <w:spacing w:val="0"/>
          <w:color w:val="89003C"/>
        </w:rPr>
        <w:t xml:space="preserve">{{{ }}}</w:t>
      </w: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 usages are the layout </w:t>
      </w:r>
      <w:r>
        <w:rPr>
          <w:rFonts w:ascii="Courier New" w:hAnsi="Courier New" w:cs="Courier New"/>
          <w:sz w:val="26"/>
          <w:sz-cs w:val="26"/>
          <w:spacing w:val="0"/>
          <w:color w:val="89003C"/>
        </w:rPr>
        <w:t xml:space="preserve">{{{body}}}</w:t>
      </w: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 slot, where the value is the already-rendered, already-escaped child view — never attacker-supplied. A strict Content-Security-Policy adds defence-in-depth. Reviewed and resolved.</w:t>
      </w:r>
    </w:p>
    <w:p>
      <w:pPr>
        <w:spacing w:after="120"/>
      </w:pPr>
      <w:r>
        <w:rPr>
          <w:rFonts w:ascii="Helvetica" w:hAnsi="Helvetica" w:cs="Helvetica"/>
          <w:sz w:val="32"/>
          <w:sz-cs w:val="32"/>
          <w:b/>
          <w:spacing w:val="0"/>
          <w:color w:val="89003C"/>
        </w:rPr>
        <w:t xml:space="preserve">brace-expansion DoS — Medium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b/>
          <w:spacing w:val="0"/>
          <w:color w:val="171E2D"/>
        </w:rPr>
        <w:t xml:space="preserve">Risk.</w:t>
      </w: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 A vulnerable version of the transitive </w:t>
      </w:r>
      <w:r>
        <w:rPr>
          <w:rFonts w:ascii="Courier New" w:hAnsi="Courier New" w:cs="Courier New"/>
          <w:sz w:val="26"/>
          <w:sz-cs w:val="26"/>
          <w:spacing w:val="0"/>
          <w:color w:val="89003C"/>
        </w:rPr>
        <w:t xml:space="preserve">brace-expansion</w:t>
      </w: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 dependency could be driven into pathological algorithmic complexity.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b/>
          <w:spacing w:val="0"/>
          <w:color w:val="171E2D"/>
        </w:rPr>
        <w:t xml:space="preserve">Fix.</w:t>
      </w: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 The dependency was updated to a patched release (</w:t>
      </w:r>
      <w:r>
        <w:rPr>
          <w:rFonts w:ascii="Courier New" w:hAnsi="Courier New" w:cs="Courier New"/>
          <w:sz w:val="26"/>
          <w:sz-cs w:val="26"/>
          <w:spacing w:val="0"/>
          <w:color w:val="89003C"/>
        </w:rPr>
        <w:t xml:space="preserve">5.0.7</w:t>
      </w: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), removing the vulnerable code path.</w:t>
      </w:r>
    </w:p>
    <w:p>
      <w:pPr>
        <w:spacing w:after="120"/>
      </w:pPr>
      <w:r>
        <w:rPr>
          <w:rFonts w:ascii="Helvetica" w:hAnsi="Helvetica" w:cs="Helvetica"/>
          <w:sz w:val="32"/>
          <w:sz-cs w:val="32"/>
          <w:b/>
          <w:spacing w:val="0"/>
          <w:color w:val="89003C"/>
        </w:rPr>
        <w:t xml:space="preserve">Open redirect — Low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b/>
          <w:spacing w:val="0"/>
          <w:color w:val="171E2D"/>
        </w:rPr>
        <w:t xml:space="preserve">Risk.</w:t>
      </w: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 The CSRF-error handler derived its redirect target from the </w:t>
      </w:r>
      <w:r>
        <w:rPr>
          <w:rFonts w:ascii="Courier New" w:hAnsi="Courier New" w:cs="Courier New"/>
          <w:sz w:val="26"/>
          <w:sz-cs w:val="26"/>
          <w:spacing w:val="0"/>
          <w:color w:val="89003C"/>
        </w:rPr>
        <w:t xml:space="preserve">Referer</w:t>
      </w: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 pathname; a scheme-relative value such as </w:t>
      </w:r>
      <w:r>
        <w:rPr>
          <w:rFonts w:ascii="Courier New" w:hAnsi="Courier New" w:cs="Courier New"/>
          <w:sz w:val="26"/>
          <w:sz-cs w:val="26"/>
          <w:spacing w:val="0"/>
          <w:color w:val="89003C"/>
        </w:rPr>
        <w:t xml:space="preserve">//evil.com</w:t>
      </w: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 would send users off-site.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b/>
          <w:spacing w:val="0"/>
          <w:color w:val="171E2D"/>
        </w:rPr>
        <w:t xml:space="preserve">Fix.</w:t>
      </w: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 The redirect path must now start with a single </w:t>
      </w:r>
      <w:r>
        <w:rPr>
          <w:rFonts w:ascii="Courier New" w:hAnsi="Courier New" w:cs="Courier New"/>
          <w:sz w:val="26"/>
          <w:sz-cs w:val="26"/>
          <w:spacing w:val="0"/>
          <w:color w:val="89003C"/>
        </w:rPr>
        <w:t xml:space="preserve">/</w:t>
      </w: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 and not </w:t>
      </w:r>
      <w:r>
        <w:rPr>
          <w:rFonts w:ascii="Courier New" w:hAnsi="Courier New" w:cs="Courier New"/>
          <w:sz w:val="26"/>
          <w:sz-cs w:val="26"/>
          <w:spacing w:val="0"/>
          <w:color w:val="89003C"/>
        </w:rPr>
        <w:t xml:space="preserve">//</w:t>
      </w: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 or </w:t>
      </w:r>
      <w:r>
        <w:rPr>
          <w:rFonts w:ascii="Courier New" w:hAnsi="Courier New" w:cs="Courier New"/>
          <w:sz w:val="26"/>
          <w:sz-cs w:val="26"/>
          <w:spacing w:val="0"/>
          <w:color w:val="89003C"/>
        </w:rPr>
        <w:t xml:space="preserve">/\</w:t>
      </w: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, and the origin must match the app's own host, so only same-site local paths are honoured.</w:t>
      </w:r>
    </w:p>
    <w:p>
      <w:pPr>
        <w:spacing w:after="160"/>
      </w:pPr>
      <w:r>
        <w:rPr>
          <w:rFonts w:ascii="Helvetica" w:hAnsi="Helvetica" w:cs="Helvetica"/>
          <w:sz w:val="40"/>
          <w:sz-cs w:val="40"/>
          <w:b/>
          <w:spacing w:val="0"/>
          <w:color w:val="0D121F"/>
        </w:rPr>
        <w:t xml:space="preserve">4. Controls in place</w:t>
      </w:r>
    </w:p>
    <w:p>
      <w:pPr>
        <w:spacing w:after="120"/>
      </w:pPr>
      <w:r>
        <w:rPr>
          <w:rFonts w:ascii="Helvetica" w:hAnsi="Helvetica" w:cs="Helvetica"/>
          <w:sz w:val="32"/>
          <w:sz-cs w:val="32"/>
          <w:b/>
          <w:spacing w:val="0"/>
          <w:color w:val="89003C"/>
        </w:rPr>
        <w:t xml:space="preserve">Authentication &amp; sessions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Authentication is fully delegated to </w:t>
      </w:r>
      <w:r>
        <w:rPr>
          <w:rFonts w:ascii="Helvetica" w:hAnsi="Helvetica" w:cs="Helvetica"/>
          <w:sz w:val="29"/>
          <w:sz-cs w:val="29"/>
          <w:b/>
          <w:spacing w:val="0"/>
          <w:color w:val="171E2D"/>
        </w:rPr>
        <w:t xml:space="preserve">Auth0</w:t>
      </w: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 (password-realm grant); the app never stores or compares passwords.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A thin </w:t>
      </w:r>
      <w:r>
        <w:rPr>
          <w:rFonts w:ascii="Helvetica" w:hAnsi="Helvetica" w:cs="Helvetica"/>
          <w:sz w:val="29"/>
          <w:sz-cs w:val="29"/>
          <w:b/>
          <w:spacing w:val="0"/>
          <w:color w:val="171E2D"/>
        </w:rPr>
        <w:t xml:space="preserve">MongoDB-backed session</w:t>
      </w: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 keyed by a UUIDv4 cookie value.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Cookies are </w:t>
      </w:r>
      <w:r>
        <w:rPr>
          <w:rFonts w:ascii="Courier New" w:hAnsi="Courier New" w:cs="Courier New"/>
          <w:sz w:val="26"/>
          <w:sz-cs w:val="26"/>
          <w:spacing w:val="0"/>
          <w:color w:val="89003C"/>
        </w:rPr>
        <w:t xml:space="preserve">httpOnly</w:t>
      </w: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  <w:color w:val="89003C"/>
        </w:rPr>
        <w:t xml:space="preserve">sameSite=strict</w:t>
      </w: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, and </w:t>
      </w:r>
      <w:r>
        <w:rPr>
          <w:rFonts w:ascii="Courier New" w:hAnsi="Courier New" w:cs="Courier New"/>
          <w:sz w:val="26"/>
          <w:sz-cs w:val="26"/>
          <w:spacing w:val="0"/>
          <w:color w:val="89003C"/>
        </w:rPr>
        <w:t xml:space="preserve">secure</w:t>
      </w: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 in production, with a </w:t>
      </w:r>
      <w:r>
        <w:rPr>
          <w:rFonts w:ascii="Helvetica" w:hAnsi="Helvetica" w:cs="Helvetica"/>
          <w:sz w:val="29"/>
          <w:sz-cs w:val="29"/>
          <w:b/>
          <w:spacing w:val="0"/>
          <w:color w:val="171E2D"/>
        </w:rPr>
        <w:t xml:space="preserve">30-minute idle TTL</w:t>
      </w: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Deleting an account removes the </w:t>
      </w:r>
      <w:r>
        <w:rPr>
          <w:rFonts w:ascii="Helvetica" w:hAnsi="Helvetica" w:cs="Helvetica"/>
          <w:sz w:val="29"/>
          <w:sz-cs w:val="29"/>
          <w:b/>
          <w:spacing w:val="0"/>
          <w:color w:val="171E2D"/>
        </w:rPr>
        <w:t xml:space="preserve">Auth0 identity</w:t>
      </w: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 via the Management API, so a closed account cannot log back in.</w:t>
      </w:r>
    </w:p>
    <w:p>
      <w:pPr>
        <w:spacing w:after="120"/>
      </w:pPr>
      <w:r>
        <w:rPr>
          <w:rFonts w:ascii="Helvetica" w:hAnsi="Helvetica" w:cs="Helvetica"/>
          <w:sz w:val="32"/>
          <w:sz-cs w:val="32"/>
          <w:b/>
          <w:spacing w:val="0"/>
          <w:color w:val="89003C"/>
        </w:rPr>
        <w:t xml:space="preserve">Authorization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Every cat and guardian operation </w:t>
      </w:r>
      <w:r>
        <w:rPr>
          <w:rFonts w:ascii="Helvetica" w:hAnsi="Helvetica" w:cs="Helvetica"/>
          <w:sz w:val="29"/>
          <w:sz-cs w:val="29"/>
          <w:b/>
          <w:spacing w:val="0"/>
          <w:color w:val="171E2D"/>
        </w:rPr>
        <w:t xml:space="preserve">verifies record ownership</w:t>
      </w: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 before acting; a mismatch returns a generic "not found".</w:t>
      </w:r>
    </w:p>
    <w:p>
      <w:pPr>
        <w:spacing w:after="120"/>
      </w:pPr>
      <w:r>
        <w:rPr>
          <w:rFonts w:ascii="Helvetica" w:hAnsi="Helvetica" w:cs="Helvetica"/>
          <w:sz w:val="32"/>
          <w:sz-cs w:val="32"/>
          <w:b/>
          <w:spacing w:val="0"/>
          <w:color w:val="89003C"/>
        </w:rPr>
        <w:t xml:space="preserve">CSRF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171E2D"/>
        </w:rPr>
        <w:t xml:space="preserve">Double-submit CSRF protection</w:t>
      </w: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 on all state-changing form posts; multipart routes re-apply it after the file parser. Logout is a CSRF-protected POST.</w:t>
      </w:r>
    </w:p>
    <w:p>
      <w:pPr>
        <w:spacing w:after="120"/>
      </w:pPr>
      <w:r>
        <w:rPr>
          <w:rFonts w:ascii="Helvetica" w:hAnsi="Helvetica" w:cs="Helvetica"/>
          <w:sz w:val="32"/>
          <w:sz-cs w:val="32"/>
          <w:b/>
          <w:spacing w:val="0"/>
          <w:color w:val="89003C"/>
        </w:rPr>
        <w:t xml:space="preserve">CSP, rate limiting &amp; tokens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171E2D"/>
        </w:rPr>
        <w:t xml:space="preserve">helmet</w:t>
      </w: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 CSP with a per-request script nonce; </w:t>
      </w:r>
      <w:r>
        <w:rPr>
          <w:rFonts w:ascii="Courier New" w:hAnsi="Courier New" w:cs="Courier New"/>
          <w:sz w:val="26"/>
          <w:sz-cs w:val="26"/>
          <w:spacing w:val="0"/>
          <w:color w:val="89003C"/>
        </w:rPr>
        <w:t xml:space="preserve">frame-ancestors 'none'</w:t>
      </w: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Rate limits: auth 10/15 min, public finder endpoint 8/hour, AI chat per-IP and per-token.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Guardian and acknowledgment tokens are UUIDv4, 48-hour, single-use, and invalidatable.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The AI care assistant caps length, screens for prompt injection, and requires an acknowledged guardian token.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All secrets live only in </w:t>
      </w:r>
      <w:r>
        <w:rPr>
          <w:rFonts w:ascii="Courier New" w:hAnsi="Courier New" w:cs="Courier New"/>
          <w:sz w:val="26"/>
          <w:sz-cs w:val="26"/>
          <w:spacing w:val="0"/>
          <w:color w:val="89003C"/>
        </w:rPr>
        <w:t xml:space="preserve">.env</w:t>
      </w: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 (git-ignored); a credential-free </w:t>
      </w:r>
      <w:r>
        <w:rPr>
          <w:rFonts w:ascii="Courier New" w:hAnsi="Courier New" w:cs="Courier New"/>
          <w:sz w:val="26"/>
          <w:sz-cs w:val="26"/>
          <w:spacing w:val="0"/>
          <w:color w:val="89003C"/>
        </w:rPr>
        <w:t xml:space="preserve">.env.example</w:t>
      </w: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 documents the keys.</w:t>
      </w:r>
    </w:p>
    <w:p>
      <w:pPr>
        <w:spacing w:after="160"/>
      </w:pPr>
      <w:r>
        <w:rPr>
          <w:rFonts w:ascii="Helvetica" w:hAnsi="Helvetica" w:cs="Helvetica"/>
          <w:sz w:val="40"/>
          <w:sz-cs w:val="40"/>
          <w:b/>
          <w:spacing w:val="0"/>
          <w:color w:val="0D121F"/>
        </w:rPr>
        <w:t xml:space="preserve">5. Reproducing the scan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171E2D"/>
        </w:rPr>
        <w:t xml:space="preserve">Static / code scan:</w:t>
      </w: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 the repository is connected at </w:t>
      </w:r>
      <w:r>
        <w:rPr>
          <w:rFonts w:ascii="Courier New" w:hAnsi="Courier New" w:cs="Courier New"/>
          <w:sz w:val="26"/>
          <w:sz-cs w:val="26"/>
          <w:spacing w:val="0"/>
          <w:color w:val="89003C"/>
        </w:rPr>
        <w:t xml:space="preserve">app.aikido.dev</w:t>
      </w: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; open the report and use </w:t>
      </w:r>
      <w:r>
        <w:rPr>
          <w:rFonts w:ascii="Helvetica" w:hAnsi="Helvetica" w:cs="Helvetica"/>
          <w:sz w:val="29"/>
          <w:sz-cs w:val="29"/>
          <w:b/>
          <w:spacing w:val="0"/>
          <w:color w:val="171E2D"/>
        </w:rPr>
        <w:t xml:space="preserve">Retest</w:t>
      </w: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 to confirm resolution.</w:t>
      </w:r>
    </w:p>
    <w:p>
      <w:pPr>
        <w:ind w:left="720" w:first-line="-720"/>
        <w:spacing w:after="80"/>
      </w:pPr>
      <w:r>
        <w:rPr>
          <w:rFonts w:ascii="Helvetica" w:hAnsi="Helvetica" w:cs="Helvetica"/>
          <w:sz w:val="29"/>
          <w:sz-cs w:val="29"/>
          <w:b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171E2D"/>
        </w:rPr>
        <w:t xml:space="preserve">Dependency scan:</w:t>
      </w: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 </w:t>
      </w:r>
      <w:r>
        <w:rPr>
          <w:rFonts w:ascii="Courier New" w:hAnsi="Courier New" w:cs="Courier New"/>
          <w:sz w:val="26"/>
          <w:sz-cs w:val="26"/>
          <w:spacing w:val="0"/>
          <w:color w:val="89003C"/>
        </w:rPr>
        <w:t xml:space="preserve">npm audit --omit=dev</w:t>
      </w: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. Remaining moderate advisories are transitive from the Temporal SDK; risk is low as Temporal communicates only with a trusted Temporal Cloud namespace.</w:t>
      </w:r>
    </w:p>
    <w:p>
      <w:pPr>
        <w:spacing w:after="160"/>
      </w:pPr>
      <w:r>
        <w:rPr>
          <w:rFonts w:ascii="Helvetica" w:hAnsi="Helvetica" w:cs="Helvetica"/>
          <w:sz w:val="40"/>
          <w:sz-cs w:val="40"/>
          <w:b/>
          <w:spacing w:val="0"/>
          <w:color w:val="0D121F"/>
        </w:rPr>
        <w:t xml:space="preserve">6. Responsible disclosure</w:t>
      </w:r>
    </w:p>
    <w:p>
      <w:pPr>
        <w:spacing w:after="160"/>
      </w:pP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If you discover a vulnerability, please report it privately to the maintainers rather than opening a public issue, and allow a reasonable window for a fix before disclosure.</w:t>
      </w:r>
    </w:p>
    <w:p>
      <w:pPr>
        <w:spacing w:after="160"/>
      </w:pPr>
      <w:r>
        <w:rPr>
          <w:rFonts w:ascii="Helvetica" w:hAnsi="Helvetica" w:cs="Helvetica"/>
          <w:sz w:val="24"/>
          <w:sz-cs w:val="24"/>
          <w:spacing w:val="0"/>
          <w:color w:val="8291A9"/>
        </w:rPr>
        <w:t xml:space="preserve">MeoW Cat Safety Network — Security Report · #hackthekitty 2026 · Reference ID 6AOYB23P · See also: Threat Model, Project Report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CocoaOOXMLWriter/2487.2</generator>
</meta>
</file>