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Initiële taken:</w:t>
      </w:r>
    </w:p>
    <w:p>
      <w:r>
        <w:t>- Architectuur</w:t>
      </w:r>
    </w:p>
    <w:p>
      <w:r>
        <w:t>- Design</w:t>
      </w:r>
    </w:p>
    <w:p>
      <w:r>
        <w:t>- Backend</w:t>
      </w:r>
    </w:p>
    <w:p>
      <w:r>
        <w:t>- Frontend</w:t>
      </w:r>
    </w:p>
    <w:p>
      <w:r>
        <w:t>- Testen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874953-CE87-4EBC-8988-7A53F16E969E}"/>
</file>

<file path=customXml/itemProps3.xml><?xml version="1.0" encoding="utf-8"?>
<ds:datastoreItem xmlns:ds="http://schemas.openxmlformats.org/officeDocument/2006/customXml" ds:itemID="{A0D6CC0D-B9E9-43AE-857F-7CB1C5A330CE}"/>
</file>

<file path=customXml/itemProps4.xml><?xml version="1.0" encoding="utf-8"?>
<ds:datastoreItem xmlns:ds="http://schemas.openxmlformats.org/officeDocument/2006/customXml" ds:itemID="{3AB474EF-6740-4E50-80ED-4880A4157F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