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Первый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Первый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Первый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Первый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Первый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Первый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Первый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Показатели T-клеточного иммунитета</w:t>
      </w:r>
    </w:p>
    <w:p>
      <w:r>
        <w:t xml:space="preserve">     NEU/LYMF - Отклонение от нормы больше 1.% нормы вниз - Отклонение от нормы на -0.67 нормы вниз</w:t>
      </w:r>
    </w:p>
    <w:p>
      <w:r>
        <w:t xml:space="preserve">     NEU/CD3 - Отклонение от нормы больше 2.% нормы вниз - Отклонение от нормы на -1.3 нормы вниз</w:t>
      </w:r>
    </w:p>
    <w:p>
      <w:r>
        <w:t xml:space="preserve">     NEU/CD4 - Отклонение от нормы больше 9.% нормы вниз - Отклонение от нормы на -8.5 нормы вниз</w:t>
      </w:r>
    </w:p>
    <w:p>
      <w:r>
        <w:t xml:space="preserve">     NEU/CD8 - Отклонение от нормы больше 3.% нормы вниз - Отклонение от нормы на -2.0 нормы вниз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9.% нормы вниз - Отклонение от нормы на -8.6 нормы вниз</w:t>
      </w:r>
    </w:p>
    <w:p>
      <w:r>
        <w:t xml:space="preserve">     CD19/CD4 - Отклонение от нормы больше 0.% нормы вверх - Отклонение от нормы на 0.2 нормы вверх</w:t>
      </w:r>
    </w:p>
    <w:p>
      <w:r>
        <w:t xml:space="preserve">     CD19/CD8 - Отклонение от нормы больше 0.% нормы вверх - Отклонение от нормы на 0.7 нормы вверх</w:t>
      </w:r>
    </w:p>
    <w:p>
      <w:r>
        <w:t>Цитокиновые пары</w:t>
      </w:r>
    </w:p>
    <w:p>
      <w:r>
        <w:t xml:space="preserve">     ФНО - Отклонение от нормы больше 80% нормы вниз - Отклонение от нормы на -79.0 нормы вниз</w:t>
      </w:r>
    </w:p>
    <w:p>
      <w:r>
        <w:t xml:space="preserve">     ИНТЕРФЕРОН - Отклонение от нормы больше 80% нормы вниз - Отклонение от нормы на -79.0 нормы вниз</w:t>
      </w:r>
    </w:p>
    <w:p>
      <w:r>
        <w:t xml:space="preserve">     ИНТЕРЛЕКИН - Отклонение от нормы больше 80% нормы вниз - Отклонение от нормы на -79.0 нормы вниз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