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МИНОБРНАУКИ РОССИИ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Федеральное государственное бюджетное образовательное учреждение 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высшего образования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«Ярославский государственный университет им. П.Г. Демидова»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(ЯрГУ)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18"/>
          <w:szCs w:val="18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Математический факультет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ДНЕВНИК ПРАКТИКИ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16"/>
          <w:szCs w:val="16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Студент</w:t>
      </w:r>
      <w:r>
        <w:rPr>
          <w:sz w:val="24"/>
          <w:szCs w:val="24"/>
        </w:rPr>
        <w:t>а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  <w:t xml:space="preserve">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vertAlign w:val="baseline"/>
        </w:rPr>
        <w:t xml:space="preserve">  Литовкина Никиты Андреевича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курс: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4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форма обучения: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очная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18"/>
          <w:szCs w:val="18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учебная группа: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 xml:space="preserve">ПМИ - </w:t>
      </w:r>
      <w:r>
        <w:rPr>
          <w:sz w:val="24"/>
          <w:szCs w:val="24"/>
          <w:u w:val="single"/>
        </w:rPr>
        <w:t>41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 xml:space="preserve"> БО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16"/>
          <w:szCs w:val="16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Направление подготовки: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 xml:space="preserve">01.03.02 Прикладная математика и информатика 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-142" w:right="0" w:firstLine="142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Направленность (профиль)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"Прикладное программирование и информационные технологии"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Вид практики: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 xml:space="preserve">Преддипломная 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Сроки практики: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с 30.05.</w:t>
      </w:r>
      <w:r>
        <w:rPr>
          <w:sz w:val="24"/>
          <w:szCs w:val="24"/>
          <w:u w:val="single"/>
        </w:rPr>
        <w:t>2025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 xml:space="preserve"> по 14.06.</w:t>
      </w:r>
      <w:r>
        <w:rPr>
          <w:sz w:val="24"/>
          <w:szCs w:val="24"/>
          <w:u w:val="single"/>
        </w:rPr>
        <w:t>2025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 xml:space="preserve"> (2 нед, 3 з.е., 108 часов)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18"/>
          <w:szCs w:val="18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База практики: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>Ярославский государственный университет им. П.Г. Демидова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4"/>
          <w:szCs w:val="24"/>
          <w:u w:val="singl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Руководитель практики от факультета: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18"/>
          <w:szCs w:val="18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 xml:space="preserve">Бережной Евгений Иванович, д.ф.-м.н., профессор, заведующий кафедрой дифференциальных уравнений ЯрГУ  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4"/>
          <w:szCs w:val="24"/>
          <w:u w:val="singl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Индивидуальный руководитель: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Погребняк Максим Анатольевич к. ф. - м. н.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ab/>
        <w:tab/>
        <w:tab/>
        <w:tab/>
      </w: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ФИО, ученая степень, ученое звание, должность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18"/>
          <w:szCs w:val="18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Кафедра  </w:t>
      </w:r>
      <w:r>
        <w:rPr>
          <w:sz w:val="24"/>
          <w:szCs w:val="24"/>
          <w:u w:val="single"/>
        </w:rPr>
        <w:t>математического моделирования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  <w:t>Наименование выпускающей  кафедры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r>
    </w:p>
    <w:p>
      <w:pPr>
        <w:sectPr>
          <w:footerReference w:type="default" r:id="rId2"/>
          <w:type w:val="nextPage"/>
          <w:pgSz w:w="11906" w:h="16838"/>
          <w:pgMar w:left="1418" w:right="851" w:header="0" w:top="1134" w:footer="709" w:bottom="1134" w:gutter="0"/>
          <w:pgNumType w:start="1" w:fmt="decimal"/>
          <w:formProt w:val="false"/>
          <w:textDirection w:val="lrTb"/>
          <w:docGrid w:type="default" w:linePitch="100" w:charSpace="8192"/>
        </w:sect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Ярославль </w:t>
      </w:r>
      <w:r>
        <w:rPr>
          <w:sz w:val="24"/>
          <w:szCs w:val="24"/>
        </w:rPr>
        <w:t>2025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г</w:t>
      </w:r>
    </w:p>
    <w:p>
      <w:pPr>
        <w:pStyle w:val="LOnormal"/>
        <w:keepNext w:val="false"/>
        <w:keepLines w:val="false"/>
        <w:widowControl/>
        <w:shd w:val="clear" w:fill="auto"/>
        <w:spacing w:lineRule="auto" w:line="360" w:before="0" w:after="0"/>
        <w:ind w:left="0" w:right="0" w:hanging="0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18"/>
          <w:szCs w:val="18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3"/>
          <w:sz w:val="23"/>
          <w:szCs w:val="23"/>
          <w:u w:val="none"/>
          <w:shd w:fill="auto" w:val="clear"/>
          <w:vertAlign w:val="baseline"/>
        </w:rPr>
        <w:t>1. Календарно-тематический план-график практики, сведения о выполняемой работе:</w:t>
      </w:r>
    </w:p>
    <w:tbl>
      <w:tblPr>
        <w:tblStyle w:val="Table1"/>
        <w:tblW w:w="972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17"/>
        <w:gridCol w:w="1532"/>
        <w:gridCol w:w="1396"/>
        <w:gridCol w:w="1290"/>
        <w:gridCol w:w="1802"/>
        <w:gridCol w:w="990"/>
        <w:gridCol w:w="1080"/>
        <w:gridCol w:w="1211"/>
      </w:tblGrid>
      <w:tr>
        <w:trPr>
          <w:trHeight w:val="1270" w:hRule="atLeast"/>
        </w:trPr>
        <w:tc>
          <w:tcPr>
            <w:tcW w:w="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normal"/>
              <w:keepNext w:val="false"/>
              <w:keepLines w:val="false"/>
              <w:widowControl/>
              <w:shd w:val="clear" w:fill="auto"/>
              <w:spacing w:lineRule="auto" w:line="240" w:before="0" w:after="0"/>
              <w:ind w:left="0" w:right="-24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18"/>
                <w:szCs w:val="18"/>
                <w:u w:val="none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№</w:t>
            </w:r>
          </w:p>
          <w:p>
            <w:pPr>
              <w:pStyle w:val="LOnormal"/>
              <w:keepNext w:val="false"/>
              <w:keepLines w:val="false"/>
              <w:widowControl/>
              <w:shd w:val="clear" w:fill="auto"/>
              <w:spacing w:lineRule="auto" w:line="240" w:before="0" w:after="0"/>
              <w:ind w:left="0" w:right="-24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18"/>
                <w:szCs w:val="18"/>
                <w:u w:val="none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п/п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normal"/>
              <w:keepNext w:val="false"/>
              <w:keepLines w:val="false"/>
              <w:widowControl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18"/>
                <w:szCs w:val="18"/>
                <w:u w:val="none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Вид деятельности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normal"/>
              <w:keepNext w:val="false"/>
              <w:keepLines w:val="false"/>
              <w:widowControl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18"/>
                <w:szCs w:val="18"/>
                <w:u w:val="none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Календарный срок предполагаемого выполнения, в т.ч. кол-во часов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normal"/>
              <w:keepNext w:val="false"/>
              <w:keepLines w:val="false"/>
              <w:widowControl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18"/>
                <w:szCs w:val="18"/>
                <w:u w:val="none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Дата (число</w:t>
            </w:r>
          </w:p>
          <w:p>
            <w:pPr>
              <w:pStyle w:val="LOnormal"/>
              <w:keepNext w:val="false"/>
              <w:keepLines w:val="false"/>
              <w:widowControl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18"/>
                <w:szCs w:val="18"/>
                <w:u w:val="none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месяц</w:t>
            </w:r>
          </w:p>
          <w:p>
            <w:pPr>
              <w:pStyle w:val="LOnormal"/>
              <w:keepNext w:val="false"/>
              <w:keepLines w:val="false"/>
              <w:widowControl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18"/>
                <w:szCs w:val="18"/>
                <w:u w:val="none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год)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normal"/>
              <w:keepNext w:val="false"/>
              <w:keepLines w:val="false"/>
              <w:widowControl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18"/>
                <w:szCs w:val="18"/>
                <w:u w:val="none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Наименование</w:t>
            </w:r>
          </w:p>
          <w:p>
            <w:pPr>
              <w:pStyle w:val="LOnormal"/>
              <w:keepNext w:val="false"/>
              <w:keepLines w:val="false"/>
              <w:widowControl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18"/>
                <w:szCs w:val="18"/>
                <w:u w:val="none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работы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normal"/>
              <w:keepNext w:val="false"/>
              <w:keepLines w:val="false"/>
              <w:widowControl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18"/>
                <w:szCs w:val="18"/>
                <w:u w:val="none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Кол-во отработанных часов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normal"/>
              <w:keepNext w:val="false"/>
              <w:keepLines w:val="false"/>
              <w:widowControl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18"/>
                <w:szCs w:val="18"/>
                <w:u w:val="none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Оценка по итогам выполнения работы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keepNext w:val="false"/>
              <w:keepLines w:val="false"/>
              <w:widowControl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 xml:space="preserve">Подпись руководителя практики </w:t>
            </w:r>
          </w:p>
        </w:tc>
      </w:tr>
      <w:tr>
        <w:trPr>
          <w:trHeight w:val="261" w:hRule="atLeast"/>
        </w:trPr>
        <w:tc>
          <w:tcPr>
            <w:tcW w:w="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normal"/>
              <w:keepNext w:val="false"/>
              <w:keepLines w:val="false"/>
              <w:widowControl/>
              <w:shd w:val="clear" w:fill="auto"/>
              <w:spacing w:lineRule="auto" w:line="240" w:before="0" w:after="0"/>
              <w:ind w:left="0" w:right="-24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normal"/>
              <w:keepNext w:val="false"/>
              <w:keepLines w:val="false"/>
              <w:widowControl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normal"/>
              <w:keepNext w:val="false"/>
              <w:keepLines w:val="false"/>
              <w:widowControl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normal"/>
              <w:keepNext w:val="false"/>
              <w:keepLines w:val="false"/>
              <w:widowControl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normal"/>
              <w:keepNext w:val="false"/>
              <w:keepLines w:val="false"/>
              <w:widowControl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normal"/>
              <w:keepNext w:val="false"/>
              <w:keepLines w:val="false"/>
              <w:widowControl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normal"/>
              <w:keepNext w:val="false"/>
              <w:keepLines w:val="false"/>
              <w:widowControl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keepNext w:val="false"/>
              <w:keepLines w:val="false"/>
              <w:widowControl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8</w:t>
            </w:r>
          </w:p>
        </w:tc>
      </w:tr>
      <w:tr>
        <w:trPr>
          <w:trHeight w:val="261" w:hRule="atLeast"/>
        </w:trPr>
        <w:tc>
          <w:tcPr>
            <w:tcW w:w="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normal"/>
              <w:rPr/>
            </w:pPr>
            <w:r>
              <w:rPr>
                <w:sz w:val="22"/>
              </w:rPr>
              <w:t>1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normal"/>
              <w:rPr/>
            </w:pPr>
            <w:r>
              <w:rPr>
                <w:sz w:val="22"/>
              </w:rPr>
              <w:t>Установочная конференция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normal"/>
              <w:rPr/>
            </w:pPr>
            <w:r>
              <w:rPr>
                <w:sz w:val="22"/>
              </w:rPr>
              <w:t>30.05.2025 (2)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normal"/>
              <w:rPr/>
            </w:pPr>
            <w:r>
              <w:rPr>
                <w:sz w:val="22"/>
              </w:rPr>
              <w:t>30.05.2025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normal"/>
              <w:rPr/>
            </w:pPr>
            <w:r>
              <w:rPr>
                <w:sz w:val="22"/>
              </w:rPr>
              <w:t>Участие в установочной конференции. Ознакомление с нормативными документами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normal"/>
              <w:rPr/>
            </w:pPr>
            <w:r>
              <w:rPr>
                <w:b/>
                <w:sz w:val="22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normal"/>
              <w:rPr/>
            </w:pPr>
            <w:r>
              <w:rPr>
                <w:b/>
                <w:sz w:val="22"/>
              </w:rPr>
              <w:t>Вып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rPr/>
            </w:pPr>
            <w:r>
              <w:rPr/>
            </w:r>
          </w:p>
        </w:tc>
      </w:tr>
      <w:tr>
        <w:trPr>
          <w:trHeight w:val="261" w:hRule="atLeast"/>
          <w:cantSplit w:val="true"/>
        </w:trPr>
        <w:tc>
          <w:tcPr>
            <w:tcW w:w="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normal"/>
              <w:rPr/>
            </w:pPr>
            <w:r>
              <w:rPr>
                <w:sz w:val="22"/>
              </w:rPr>
              <w:t>10</w:t>
            </w:r>
          </w:p>
        </w:tc>
        <w:tc>
          <w:tcPr>
            <w:tcW w:w="15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normal"/>
              <w:rPr/>
            </w:pPr>
            <w:r>
              <w:rPr>
                <w:sz w:val="22"/>
              </w:rPr>
              <w:t>Выполнение программы практики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31.05-01.06 (16)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31.05-01.06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Изучение литературы по микроскопическим моделям транспортных потоков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jc w:val="both"/>
              <w:rPr>
                <w:rFonts w:ascii="Times New Roman" w:hAnsi="Times New Roman" w:eastAsia="Noto Serif CJK SC" w:cs="Lohit Devanagari"/>
                <w:b/>
                <w:b/>
                <w:bCs/>
                <w:color w:val="auto"/>
                <w:kern w:val="0"/>
                <w:sz w:val="20"/>
                <w:szCs w:val="20"/>
                <w:lang w:val="ru" w:eastAsia="zh-CN" w:bidi="hi-IN"/>
              </w:rPr>
            </w:pPr>
            <w:r>
              <w:rPr>
                <w:rFonts w:eastAsia="Noto Serif CJK SC" w:cs="Lohit Devanagari"/>
                <w:b/>
                <w:bCs/>
                <w:color w:val="auto"/>
                <w:kern w:val="0"/>
                <w:sz w:val="20"/>
                <w:szCs w:val="20"/>
                <w:lang w:val="ru" w:eastAsia="zh-CN" w:bidi="hi-IN"/>
              </w:rP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rPr/>
            </w:pPr>
            <w:r>
              <w:rPr>
                <w:b/>
                <w:sz w:val="22"/>
              </w:rPr>
              <w:t>Вып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rPr/>
            </w:pPr>
            <w:r>
              <w:rPr/>
            </w:r>
          </w:p>
        </w:tc>
      </w:tr>
      <w:tr>
        <w:trPr>
          <w:trHeight w:val="1075" w:hRule="atLeast"/>
          <w:cantSplit w:val="true"/>
        </w:trPr>
        <w:tc>
          <w:tcPr>
            <w:tcW w:w="4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highlight w:val="yellow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highlight w:val="yellow"/>
                <w:u w:val="none"/>
                <w:vertAlign w:val="baseline"/>
              </w:rPr>
            </w:r>
          </w:p>
        </w:tc>
        <w:tc>
          <w:tcPr>
            <w:tcW w:w="15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highlight w:val="yellow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highlight w:val="yellow"/>
                <w:u w:val="none"/>
                <w:vertAlign w:val="baseline"/>
              </w:rPr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02.06 (8)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02.06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Изучение математической модели ДУ с запаздывающим аргументом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jc w:val="both"/>
              <w:rPr>
                <w:rFonts w:ascii="Times New Roman" w:hAnsi="Times New Roman" w:eastAsia="Times New Roman" w:cs="Lohit Devanagari"/>
                <w:b/>
                <w:b/>
                <w:bCs/>
                <w:color w:val="auto"/>
                <w:kern w:val="0"/>
                <w:sz w:val="22"/>
                <w:szCs w:val="22"/>
                <w:lang w:val="ru" w:eastAsia="zh-CN" w:bidi="hi-IN"/>
              </w:rPr>
            </w:pPr>
            <w:r>
              <w:rPr>
                <w:rFonts w:eastAsia="Times New Roman" w:cs="Lohit Devanagari"/>
                <w:b/>
                <w:bCs/>
                <w:color w:val="auto"/>
                <w:kern w:val="0"/>
                <w:sz w:val="22"/>
                <w:szCs w:val="22"/>
                <w:lang w:val="ru" w:eastAsia="zh-CN" w:bidi="hi-IN"/>
              </w:rP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rPr/>
            </w:pPr>
            <w:r>
              <w:rPr>
                <w:b/>
                <w:sz w:val="22"/>
              </w:rPr>
              <w:t>Вып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rPr/>
            </w:pPr>
            <w:r>
              <w:rPr/>
            </w:r>
          </w:p>
        </w:tc>
      </w:tr>
      <w:tr>
        <w:trPr>
          <w:trHeight w:val="1213" w:hRule="atLeast"/>
          <w:cantSplit w:val="true"/>
        </w:trPr>
        <w:tc>
          <w:tcPr>
            <w:tcW w:w="4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highlight w:val="yellow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highlight w:val="yellow"/>
                <w:u w:val="none"/>
                <w:vertAlign w:val="baseline"/>
              </w:rPr>
            </w:r>
          </w:p>
        </w:tc>
        <w:tc>
          <w:tcPr>
            <w:tcW w:w="15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highlight w:val="yellow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highlight w:val="yellow"/>
                <w:u w:val="none"/>
                <w:vertAlign w:val="baseline"/>
              </w:rPr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03.06-04.06 (16)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03.06-04.06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Разработка программной реализации модели на C++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jc w:val="both"/>
              <w:rPr>
                <w:rFonts w:ascii="Times New Roman" w:hAnsi="Times New Roman" w:eastAsia="Times New Roman" w:cs="Lohit Devanagari"/>
                <w:b/>
                <w:b/>
                <w:bCs/>
                <w:color w:val="auto"/>
                <w:kern w:val="0"/>
                <w:sz w:val="22"/>
                <w:szCs w:val="22"/>
                <w:lang w:val="ru" w:eastAsia="zh-CN" w:bidi="hi-IN"/>
              </w:rPr>
            </w:pPr>
            <w:r>
              <w:rPr>
                <w:rFonts w:eastAsia="Times New Roman" w:cs="Lohit Devanagari"/>
                <w:b/>
                <w:bCs/>
                <w:color w:val="auto"/>
                <w:kern w:val="0"/>
                <w:sz w:val="22"/>
                <w:szCs w:val="22"/>
                <w:lang w:val="ru" w:eastAsia="zh-CN" w:bidi="hi-IN"/>
              </w:rP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rPr/>
            </w:pPr>
            <w:r>
              <w:rPr>
                <w:b/>
                <w:sz w:val="22"/>
              </w:rPr>
              <w:t>Вып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rPr/>
            </w:pPr>
            <w:r>
              <w:rPr/>
            </w:r>
          </w:p>
        </w:tc>
      </w:tr>
      <w:tr>
        <w:trPr>
          <w:trHeight w:val="261" w:hRule="atLeast"/>
          <w:cantSplit w:val="true"/>
        </w:trPr>
        <w:tc>
          <w:tcPr>
            <w:tcW w:w="4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highlight w:val="yellow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highlight w:val="yellow"/>
                <w:u w:val="none"/>
                <w:vertAlign w:val="baseline"/>
              </w:rPr>
            </w:r>
          </w:p>
        </w:tc>
        <w:tc>
          <w:tcPr>
            <w:tcW w:w="15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highlight w:val="yellow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highlight w:val="yellow"/>
                <w:u w:val="none"/>
                <w:vertAlign w:val="baseline"/>
              </w:rPr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05.06 (8)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05.06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Реализация численного интегрирования методом Рунге-Кутты 4-го порядка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jc w:val="both"/>
              <w:rPr>
                <w:rFonts w:ascii="Times New Roman" w:hAnsi="Times New Roman" w:eastAsia="Times New Roman" w:cs="Lohit Devanagari"/>
                <w:b/>
                <w:b/>
                <w:bCs/>
                <w:color w:val="auto"/>
                <w:kern w:val="0"/>
                <w:sz w:val="22"/>
                <w:szCs w:val="22"/>
                <w:lang w:val="ru" w:eastAsia="zh-CN" w:bidi="hi-IN"/>
              </w:rPr>
            </w:pPr>
            <w:r>
              <w:rPr>
                <w:rFonts w:eastAsia="Times New Roman" w:cs="Lohit Devanagari"/>
                <w:b/>
                <w:bCs/>
                <w:color w:val="auto"/>
                <w:kern w:val="0"/>
                <w:sz w:val="22"/>
                <w:szCs w:val="22"/>
                <w:lang w:val="ru" w:eastAsia="zh-CN" w:bidi="hi-IN"/>
              </w:rP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rPr/>
            </w:pPr>
            <w:r>
              <w:rPr>
                <w:b/>
                <w:sz w:val="22"/>
              </w:rPr>
              <w:t>Вып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rPr/>
            </w:pPr>
            <w:r>
              <w:rPr/>
            </w:r>
          </w:p>
        </w:tc>
      </w:tr>
      <w:tr>
        <w:trPr>
          <w:trHeight w:val="261" w:hRule="atLeast"/>
          <w:cantSplit w:val="true"/>
        </w:trPr>
        <w:tc>
          <w:tcPr>
            <w:tcW w:w="4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highlight w:val="yellow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highlight w:val="yellow"/>
                <w:u w:val="none"/>
                <w:vertAlign w:val="baseline"/>
              </w:rPr>
            </w:r>
          </w:p>
        </w:tc>
        <w:tc>
          <w:tcPr>
            <w:tcW w:w="15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highlight w:val="yellow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highlight w:val="yellow"/>
                <w:u w:val="none"/>
                <w:vertAlign w:val="baseline"/>
              </w:rPr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06.06-07.06 (16)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06.06-07.06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Реализация параллельного перебора параметров средствами OpenMP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normal"/>
              <w:jc w:val="both"/>
              <w:rPr>
                <w:rFonts w:ascii="Times New Roman" w:hAnsi="Times New Roman" w:eastAsia="Times New Roman" w:cs="Lohit Devanagari"/>
                <w:b/>
                <w:b/>
                <w:bCs/>
                <w:color w:val="auto"/>
                <w:kern w:val="0"/>
                <w:sz w:val="22"/>
                <w:szCs w:val="22"/>
                <w:lang w:val="ru" w:eastAsia="zh-CN" w:bidi="hi-IN"/>
              </w:rPr>
            </w:pPr>
            <w:r>
              <w:rPr>
                <w:rFonts w:eastAsia="Times New Roman" w:cs="Lohit Devanagari"/>
                <w:b/>
                <w:bCs/>
                <w:color w:val="auto"/>
                <w:kern w:val="0"/>
                <w:sz w:val="22"/>
                <w:szCs w:val="22"/>
                <w:lang w:val="ru" w:eastAsia="zh-CN" w:bidi="hi-IN"/>
              </w:rP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normal"/>
              <w:rPr/>
            </w:pPr>
            <w:r>
              <w:rPr>
                <w:b/>
                <w:sz w:val="22"/>
              </w:rPr>
              <w:t>Вып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rPr/>
            </w:pPr>
            <w:r>
              <w:rPr/>
            </w:r>
          </w:p>
        </w:tc>
      </w:tr>
      <w:tr>
        <w:trPr>
          <w:trHeight w:val="1050" w:hRule="atLeast"/>
          <w:cantSplit w:val="true"/>
        </w:trPr>
        <w:tc>
          <w:tcPr>
            <w:tcW w:w="4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highlight w:val="yellow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highlight w:val="yellow"/>
                <w:u w:val="none"/>
                <w:vertAlign w:val="baseline"/>
              </w:rPr>
            </w:r>
          </w:p>
        </w:tc>
        <w:tc>
          <w:tcPr>
            <w:tcW w:w="15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highlight w:val="yellow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highlight w:val="yellow"/>
                <w:u w:val="none"/>
                <w:vertAlign w:val="baseline"/>
              </w:rPr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08.06-09.06 (16)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08.06-09.06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Проведение серий численных экспериментов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normal"/>
              <w:jc w:val="both"/>
              <w:rPr>
                <w:rFonts w:ascii="Times New Roman" w:hAnsi="Times New Roman" w:eastAsia="Times New Roman" w:cs="Lohit Devanagari"/>
                <w:b/>
                <w:b/>
                <w:bCs/>
                <w:color w:val="auto"/>
                <w:kern w:val="0"/>
                <w:sz w:val="22"/>
                <w:szCs w:val="22"/>
                <w:lang w:val="ru" w:eastAsia="zh-CN" w:bidi="hi-IN"/>
              </w:rPr>
            </w:pPr>
            <w:r>
              <w:rPr>
                <w:rFonts w:eastAsia="Times New Roman" w:cs="Lohit Devanagari"/>
                <w:b/>
                <w:bCs/>
                <w:color w:val="auto"/>
                <w:kern w:val="0"/>
                <w:sz w:val="22"/>
                <w:szCs w:val="22"/>
                <w:lang w:val="ru" w:eastAsia="zh-CN" w:bidi="hi-IN"/>
              </w:rP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normal"/>
              <w:rPr/>
            </w:pPr>
            <w:r>
              <w:rPr>
                <w:b/>
                <w:sz w:val="22"/>
              </w:rPr>
              <w:t>Вып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rPr/>
            </w:pPr>
            <w:r>
              <w:rPr/>
            </w:r>
          </w:p>
        </w:tc>
      </w:tr>
      <w:tr>
        <w:trPr>
          <w:trHeight w:val="1065" w:hRule="atLeast"/>
          <w:cantSplit w:val="true"/>
        </w:trPr>
        <w:tc>
          <w:tcPr>
            <w:tcW w:w="4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highlight w:val="yellow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highlight w:val="yellow"/>
                <w:u w:val="none"/>
                <w:vertAlign w:val="baseline"/>
              </w:rPr>
            </w:r>
          </w:p>
        </w:tc>
        <w:tc>
          <w:tcPr>
            <w:tcW w:w="15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highlight w:val="yellow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highlight w:val="yellow"/>
                <w:u w:val="none"/>
                <w:vertAlign w:val="baseline"/>
              </w:rPr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10.06 (8)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10.06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Анализ полученных данных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jc w:val="both"/>
              <w:rPr>
                <w:rFonts w:ascii="Times New Roman" w:hAnsi="Times New Roman" w:eastAsia="Times New Roman" w:cs="Lohit Devanagari"/>
                <w:b/>
                <w:b/>
                <w:bCs/>
                <w:color w:val="auto"/>
                <w:kern w:val="0"/>
                <w:sz w:val="22"/>
                <w:szCs w:val="22"/>
                <w:lang w:val="ru" w:eastAsia="zh-CN" w:bidi="hi-IN"/>
              </w:rPr>
            </w:pPr>
            <w:r>
              <w:rPr>
                <w:rFonts w:eastAsia="Times New Roman" w:cs="Lohit Devanagari"/>
                <w:b/>
                <w:bCs/>
                <w:color w:val="auto"/>
                <w:kern w:val="0"/>
                <w:sz w:val="22"/>
                <w:szCs w:val="22"/>
                <w:lang w:val="ru" w:eastAsia="zh-CN" w:bidi="hi-IN"/>
              </w:rP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rPr/>
            </w:pPr>
            <w:r>
              <w:rPr>
                <w:b/>
                <w:sz w:val="22"/>
              </w:rPr>
              <w:t>Вып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rPr/>
            </w:pPr>
            <w:r>
              <w:rPr/>
            </w:r>
          </w:p>
        </w:tc>
      </w:tr>
      <w:tr>
        <w:trPr>
          <w:trHeight w:val="261" w:hRule="atLeast"/>
          <w:cantSplit w:val="true"/>
        </w:trPr>
        <w:tc>
          <w:tcPr>
            <w:tcW w:w="4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vertAlign w:val="baseline"/>
              </w:rPr>
            </w:r>
          </w:p>
        </w:tc>
        <w:tc>
          <w:tcPr>
            <w:tcW w:w="15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vertAlign w:val="baseline"/>
              </w:rPr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11.06 (2)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11.06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Предзащита ВКР на кафедре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jc w:val="both"/>
              <w:rPr>
                <w:rFonts w:ascii="Times New Roman" w:hAnsi="Times New Roman" w:eastAsia="Times New Roman" w:cs="Lohit Devanagari"/>
                <w:b/>
                <w:b/>
                <w:bCs/>
                <w:color w:val="auto"/>
                <w:kern w:val="0"/>
                <w:sz w:val="22"/>
                <w:szCs w:val="22"/>
                <w:lang w:val="ru" w:eastAsia="zh-CN" w:bidi="hi-IN"/>
              </w:rPr>
            </w:pPr>
            <w:r>
              <w:rPr>
                <w:rFonts w:eastAsia="Times New Roman" w:cs="Lohit Devanagari"/>
                <w:b/>
                <w:bCs/>
                <w:color w:val="auto"/>
                <w:kern w:val="0"/>
                <w:sz w:val="22"/>
                <w:szCs w:val="22"/>
                <w:lang w:val="ru" w:eastAsia="zh-CN" w:bidi="hi-IN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rPr>
                <w:b/>
                <w:b/>
                <w:sz w:val="22"/>
              </w:rPr>
            </w:pPr>
            <w:r>
              <w:rPr/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rPr/>
            </w:pPr>
            <w:r>
              <w:rPr/>
            </w:r>
          </w:p>
        </w:tc>
      </w:tr>
      <w:tr>
        <w:trPr>
          <w:trHeight w:val="261" w:hRule="atLeast"/>
          <w:cantSplit w:val="true"/>
        </w:trPr>
        <w:tc>
          <w:tcPr>
            <w:tcW w:w="4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vertAlign w:val="baseline"/>
              </w:rPr>
            </w:r>
          </w:p>
        </w:tc>
        <w:tc>
          <w:tcPr>
            <w:tcW w:w="15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vertAlign w:val="baseline"/>
              </w:rPr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12.06 (8)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12.06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Внесение правок в текст ВКР</w:t>
            </w:r>
          </w:p>
          <w:p>
            <w:pPr>
              <w:pStyle w:val="LOnormal"/>
              <w:jc w:val="both"/>
              <w:rPr>
                <w:rFonts w:ascii="Times New Roman" w:hAnsi="Times New Roman" w:eastAsia="Times New Roman"/>
                <w:sz w:val="22"/>
                <w:szCs w:val="22"/>
              </w:rPr>
            </w:pPr>
            <w:r>
              <w:rPr/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jc w:val="both"/>
              <w:rPr>
                <w:rFonts w:ascii="Times New Roman" w:hAnsi="Times New Roman" w:eastAsia="Times New Roman" w:cs="Lohit Devanagari"/>
                <w:b/>
                <w:b/>
                <w:bCs/>
                <w:color w:val="auto"/>
                <w:kern w:val="0"/>
                <w:sz w:val="22"/>
                <w:szCs w:val="22"/>
                <w:lang w:val="ru" w:eastAsia="zh-CN" w:bidi="hi-IN"/>
              </w:rPr>
            </w:pPr>
            <w:r>
              <w:rPr>
                <w:rFonts w:eastAsia="Times New Roman" w:cs="Lohit Devanagari"/>
                <w:b/>
                <w:bCs/>
                <w:color w:val="auto"/>
                <w:kern w:val="0"/>
                <w:sz w:val="22"/>
                <w:szCs w:val="22"/>
                <w:lang w:val="ru" w:eastAsia="zh-CN" w:bidi="hi-IN"/>
              </w:rP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rPr/>
            </w:pPr>
            <w:r>
              <w:rPr>
                <w:b/>
                <w:sz w:val="22"/>
              </w:rPr>
              <w:t>Вып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rPr/>
            </w:pPr>
            <w:r>
              <w:rPr/>
            </w:r>
          </w:p>
        </w:tc>
      </w:tr>
      <w:tr>
        <w:trPr>
          <w:trHeight w:val="261" w:hRule="atLeast"/>
          <w:cantSplit w:val="true"/>
        </w:trPr>
        <w:tc>
          <w:tcPr>
            <w:tcW w:w="417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vertAlign w:val="baseline"/>
              </w:rPr>
            </w:r>
          </w:p>
        </w:tc>
        <w:tc>
          <w:tcPr>
            <w:tcW w:w="153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LOnormal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Times New Roman" w:hAnsi="Times New Roman" w:eastAsia="Times New Roman" w:cs="Times New Roman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vertAlign w:val="baseline"/>
              </w:rPr>
            </w:pPr>
            <w:r>
              <w:rPr>
                <w:rFonts w:eastAsia="Times New Roman" w:cs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vertAlign w:val="baseline"/>
              </w:rPr>
            </w:r>
          </w:p>
        </w:tc>
        <w:tc>
          <w:tcPr>
            <w:tcW w:w="1396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13.06 (6)</w:t>
            </w:r>
          </w:p>
        </w:tc>
        <w:tc>
          <w:tcPr>
            <w:tcW w:w="1290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13.06</w:t>
            </w:r>
          </w:p>
        </w:tc>
        <w:tc>
          <w:tcPr>
            <w:tcW w:w="1802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jc w:val="both"/>
              <w:rPr/>
            </w:pPr>
            <w:r>
              <w:rPr>
                <w:rFonts w:eastAsia="Times New Roman"/>
                <w:sz w:val="22"/>
                <w:szCs w:val="22"/>
              </w:rPr>
              <w:t>Оформление отчёта о прохождении практики</w:t>
            </w: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jc w:val="both"/>
              <w:rPr>
                <w:rFonts w:ascii="Times New Roman" w:hAnsi="Times New Roman" w:eastAsia="Times New Roman" w:cs="Lohit Devanagari"/>
                <w:b/>
                <w:b/>
                <w:bCs/>
                <w:color w:val="auto"/>
                <w:kern w:val="0"/>
                <w:sz w:val="22"/>
                <w:szCs w:val="22"/>
                <w:lang w:val="ru" w:eastAsia="zh-CN" w:bidi="hi-IN"/>
              </w:rPr>
            </w:pPr>
            <w:r>
              <w:rPr>
                <w:rFonts w:eastAsia="Times New Roman" w:cs="Lohit Devanagari"/>
                <w:b/>
                <w:bCs/>
                <w:color w:val="auto"/>
                <w:kern w:val="0"/>
                <w:sz w:val="22"/>
                <w:szCs w:val="22"/>
                <w:lang w:val="ru" w:eastAsia="zh-CN" w:bidi="hi-IN"/>
              </w:rPr>
              <w:t>6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rPr/>
            </w:pPr>
            <w:r>
              <w:rPr>
                <w:b/>
                <w:sz w:val="22"/>
              </w:rPr>
              <w:t>Вып</w:t>
            </w:r>
          </w:p>
        </w:tc>
        <w:tc>
          <w:tcPr>
            <w:tcW w:w="12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LOnormal"/>
              <w:rPr/>
            </w:pPr>
            <w:r>
              <w:rPr/>
            </w:r>
          </w:p>
        </w:tc>
      </w:tr>
      <w:tr>
        <w:trPr>
          <w:trHeight w:val="840" w:hRule="atLeast"/>
        </w:trPr>
        <w:tc>
          <w:tcPr>
            <w:tcW w:w="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normal"/>
              <w:rPr/>
            </w:pPr>
            <w:r>
              <w:rPr>
                <w:sz w:val="22"/>
              </w:rPr>
              <w:t>3.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normal"/>
              <w:rPr/>
            </w:pPr>
            <w:r>
              <w:rPr>
                <w:sz w:val="22"/>
              </w:rPr>
              <w:t>Итоговая конференция</w:t>
            </w:r>
          </w:p>
        </w:tc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normal"/>
              <w:rPr/>
            </w:pPr>
            <w:r>
              <w:rPr>
                <w:sz w:val="22"/>
              </w:rPr>
              <w:t>14.06.2025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normal"/>
              <w:rPr/>
            </w:pPr>
            <w:r>
              <w:rPr>
                <w:sz w:val="22"/>
              </w:rPr>
              <w:t>14.06.2025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normal"/>
              <w:rPr/>
            </w:pPr>
            <w:r>
              <w:rPr>
                <w:sz w:val="22"/>
              </w:rPr>
              <w:t>Утверждение отчёта о прохождении практики, предоставление документов руководителю практики от факультета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normal"/>
              <w:rPr/>
            </w:pPr>
            <w:r>
              <w:rPr>
                <w:b/>
                <w:sz w:val="22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normal"/>
              <w:rPr/>
            </w:pPr>
            <w:r>
              <w:rPr/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normal"/>
              <w:rPr/>
            </w:pPr>
            <w:r>
              <w:rPr/>
            </w:r>
          </w:p>
        </w:tc>
      </w:tr>
    </w:tbl>
    <w:p>
      <w:pPr>
        <w:pStyle w:val="LOnormal"/>
        <w:keepNext w:val="false"/>
        <w:keepLines w:val="false"/>
        <w:widowControl/>
        <w:shd w:val="clear" w:fill="auto"/>
        <w:spacing w:lineRule="auto" w:line="360" w:before="0" w:after="0"/>
        <w:ind w:left="0" w:right="0" w:hanging="0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3"/>
          <w:szCs w:val="23"/>
          <w:u w:val="none"/>
          <w:vertAlign w:val="baseline"/>
        </w:rPr>
      </w:pPr>
      <w:r>
        <w:br w:type="page"/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3"/>
          <w:sz w:val="23"/>
          <w:szCs w:val="23"/>
          <w:u w:val="none"/>
          <w:shd w:fill="auto" w:val="clear"/>
          <w:vertAlign w:val="baseline"/>
        </w:rPr>
        <w:t>2. Оценка работы студента по практике с краткой характеристикой руководителя.</w:t>
      </w:r>
    </w:p>
    <w:p>
      <w:pPr>
        <w:pStyle w:val="LOnormal"/>
        <w:spacing w:lineRule="auto" w:line="276" w:before="0" w:after="0"/>
        <w:ind w:firstLine="425"/>
        <w:jc w:val="both"/>
        <w:rPr/>
      </w:pPr>
      <w:r>
        <w:rPr>
          <w:sz w:val="23"/>
        </w:rPr>
        <w:t>В период прохождения преддипломной практики студент Литовкин Никита Андреевич выполнял работы по теме ВКР «Исследование влияния коэффициента трения на пропускную способность в модели движения транспортного потока». Студент изучил необходимую литературу, разработал программную реализацию модели на C++ с использованием OpenMP, провёл численные эксперименты и проанализировал результаты.</w:t>
      </w:r>
    </w:p>
    <w:p>
      <w:pPr>
        <w:pStyle w:val="LOnormal"/>
        <w:spacing w:lineRule="auto" w:line="276" w:before="0" w:after="0"/>
        <w:ind w:firstLine="425"/>
        <w:jc w:val="both"/>
        <w:rPr>
          <w:sz w:val="24"/>
          <w:szCs w:val="24"/>
        </w:rPr>
      </w:pPr>
      <w:r>
        <w:rPr>
          <w:sz w:val="23"/>
          <w:szCs w:val="24"/>
        </w:rPr>
        <w:t>Программа преддипломной практики выполнена в полном объеме. Индивидуальное задание выполнено качественно и в установленные сроки.</w:t>
        <w:br/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Предлагаемая оценка – «_______». 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firstLine="708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firstLine="708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firstLine="708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firstLine="708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firstLine="708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firstLine="708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firstLine="708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firstLine="708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firstLine="708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Индивидуальный руководитель:</w:t>
      </w:r>
    </w:p>
    <w:p>
      <w:pPr>
        <w:pStyle w:val="LOnormal"/>
        <w:widowControl/>
        <w:shd w:val="clear" w:fill="auto"/>
        <w:spacing w:lineRule="auto" w:line="240" w:before="0" w:after="0"/>
        <w:ind w:left="0" w:right="0" w:firstLine="708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4"/>
          <w:szCs w:val="24"/>
          <w:u w:val="none"/>
          <w:vertAlign w:val="baseline"/>
        </w:rPr>
      </w:pPr>
      <w:r>
        <w:rPr/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firstLine="708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4"/>
          <w:szCs w:val="24"/>
          <w:u w:val="none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firstLine="708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Кандидат физ.-мат. наук, </w:t>
        <w:br/>
        <w:tab/>
        <w:t xml:space="preserve">доцент кафедры математического моделирования         _____________ </w:t>
      </w:r>
      <w:r>
        <w:rPr>
          <w:sz w:val="24"/>
          <w:szCs w:val="24"/>
        </w:rPr>
        <w:t>М.А Погребняк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firstLine="708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4"/>
          <w:szCs w:val="24"/>
          <w:u w:val="none"/>
          <w:vertAlign w:val="baseline"/>
        </w:rPr>
      </w:pPr>
      <w:r>
        <w:rPr/>
        <w:t xml:space="preserve">                                                                           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firstLine="708"/>
        <w:jc w:val="both"/>
        <w:rPr>
          <w:rFonts w:ascii="Times New Roman" w:hAnsi="Times New Roman" w:eastAsia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6"/>
          <w:szCs w:val="26"/>
          <w:u w:val="none"/>
          <w:vertAlign w:val="baseline"/>
        </w:rPr>
      </w:pPr>
      <w:r>
        <w:rPr/>
      </w:r>
    </w:p>
    <w:sectPr>
      <w:footerReference w:type="default" r:id="rId3"/>
      <w:type w:val="nextPage"/>
      <w:pgSz w:w="11906" w:h="16838"/>
      <w:pgMar w:left="1133" w:right="1133" w:header="0" w:top="1417" w:footer="709" w:bottom="850" w:gutter="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left="0" w:right="0" w:hanging="0"/>
      <w:jc w:val="center"/>
      <w:rPr>
        <w:rFonts w:ascii="Times New Roman" w:hAnsi="Times New Roman" w:eastAsia="Times New Roman" w:cs="Times New Roman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vertAlign w:val="baselin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LO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left="0" w:right="0" w:hanging="0"/>
      <w:jc w:val="center"/>
      <w:rPr>
        <w:rFonts w:ascii="Times New Roman" w:hAnsi="Times New Roman" w:eastAsia="Times New Roman" w:cs="Times New Roman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vertAlign w:val="baseline"/>
      </w:rPr>
    </w:r>
  </w:p>
</w:ft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ru" w:eastAsia="zh-CN" w:bidi="hi-IN"/>
    </w:rPr>
  </w:style>
  <w:style w:type="paragraph" w:styleId="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Style8">
    <w:name w:val="Заголовок"/>
    <w:basedOn w:val="Normal"/>
    <w:next w:val="Style9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9">
    <w:name w:val="Body Text"/>
    <w:basedOn w:val="Normal"/>
    <w:pPr>
      <w:spacing w:lineRule="auto" w:line="276" w:before="0" w:after="140"/>
    </w:pPr>
    <w:rPr/>
  </w:style>
  <w:style w:type="paragraph" w:styleId="Style10">
    <w:name w:val="List"/>
    <w:basedOn w:val="Style9"/>
    <w:pPr/>
    <w:rPr>
      <w:rFonts w:cs="Lohit Devanagari"/>
    </w:rPr>
  </w:style>
  <w:style w:type="paragraph" w:styleId="Style1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ru" w:eastAsia="zh-CN" w:bidi="hi-IN"/>
    </w:rPr>
  </w:style>
  <w:style w:type="paragraph" w:styleId="Style13">
    <w:name w:val="Title"/>
    <w:basedOn w:val="LOnormal"/>
    <w:next w:val="LOnormal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tyle14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Style15">
    <w:name w:val="Верхний и нижний колонтитулы"/>
    <w:basedOn w:val="Normal"/>
    <w:qFormat/>
    <w:pPr/>
    <w:rPr/>
  </w:style>
  <w:style w:type="paragraph" w:styleId="Style16">
    <w:name w:val="Footer"/>
    <w:basedOn w:val="Style15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LibreOffice/6.4.7.2$Linux_X86_64 LibreOffice_project/40$Build-2</Application>
  <Pages>4</Pages>
  <Words>381</Words>
  <Characters>2731</Characters>
  <CharactersWithSpaces>3102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2026-06-09T17:31:46Z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Application">
    <vt:lpwstr>Microsoft Azure Information Protection</vt:lpwstr>
  </property>
  <property fmtid="{D5CDD505-2E9C-101B-9397-08002B2CF9AE}" pid="3" name="MSIP_Label_f42aa342-8706-4288-bd11-ebb85995028c_Enabled">
    <vt:lpwstr>True</vt:lpwstr>
  </property>
  <property fmtid="{D5CDD505-2E9C-101B-9397-08002B2CF9AE}" pid="4" name="MSIP_Label_f42aa342-8706-4288-bd11-ebb85995028c_Extended_MSFT_Method">
    <vt:lpwstr>Automatic</vt:lpwstr>
  </property>
  <property fmtid="{D5CDD505-2E9C-101B-9397-08002B2CF9AE}" pid="5" name="MSIP_Label_f42aa342-8706-4288-bd11-ebb85995028c_Name">
    <vt:lpwstr>General</vt:lpwstr>
  </property>
  <property fmtid="{D5CDD505-2E9C-101B-9397-08002B2CF9AE}" pid="6" name="MSIP_Label_f42aa342-8706-4288-bd11-ebb85995028c_Owner">
    <vt:lpwstr>v-alkho@microsoft.com</vt:lpwstr>
  </property>
  <property fmtid="{D5CDD505-2E9C-101B-9397-08002B2CF9AE}" pid="7" name="MSIP_Label_f42aa342-8706-4288-bd11-ebb85995028c_SetDate">
    <vt:lpwstr>2018-11-22T10:46:23.9336502Z</vt:lpwstr>
  </property>
  <property fmtid="{D5CDD505-2E9C-101B-9397-08002B2CF9AE}" pid="8" name="MSIP_Label_f42aa342-8706-4288-bd11-ebb85995028c_SiteId">
    <vt:lpwstr>72f988bf-86f1-41af-91ab-2d7cd011db47</vt:lpwstr>
  </property>
  <property fmtid="{D5CDD505-2E9C-101B-9397-08002B2CF9AE}" pid="9" name="Sensitivity">
    <vt:lpwstr>General</vt:lpwstr>
  </property>
</Properties>
</file>