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83C4C"/>
          <w:sz w:val="18"/>
        </w:rPr>
        <w:t>Quenverell Computational Ltd, a Tarnovell company</w:t>
      </w:r>
    </w:p>
    <w:p>
      <w:pPr>
        <w:pStyle w:val="Title"/>
      </w:pPr>
      <w:r>
        <w:t>Immune-cell RNA-seq reanalysis and target ranking</w:t>
      </w:r>
    </w:p>
    <w:p>
      <w:r>
        <w:rPr>
          <w:i/>
          <w:sz w:val="26"/>
        </w:rPr>
        <w:t>Proposal for Corvenlith Therapeutics</w:t>
      </w:r>
    </w:p>
    <w:p>
      <w:r>
        <w:t>Engagement: QV.23.100</w:t>
      </w:r>
    </w:p>
    <w:p>
      <w:r>
        <w:t>Date: 11/09/2023</w:t>
      </w:r>
    </w:p>
    <w:p>
      <w:r>
        <w:t>Prepared by: Dr T. Zawiernicki, Head of Bioinformatics</w:t>
      </w:r>
    </w:p>
    <w:p>
      <w:pPr>
        <w:pStyle w:val="Heading1"/>
      </w:pPr>
      <w:r>
        <w:t>1 The biological question</w:t>
      </w:r>
    </w:p>
    <w:p>
      <w:r>
        <w:t>Corvenlith Therapeutics has RNA-seq from stimulated immune cells from healthy and patient donors and a candidate list of inflammatory targets. The question is which candidates remain differentially expressed once donor-to-donor variation is accounted for.</w:t>
      </w:r>
    </w:p>
    <w:p>
      <w:pPr>
        <w:pStyle w:val="Heading1"/>
      </w:pPr>
      <w:r>
        <w:t>2 Data and provenance</w:t>
      </w:r>
    </w:p>
    <w:p>
      <w:pPr>
        <w:pStyle w:val="ListBullet"/>
      </w:pPr>
      <w:r>
        <w:t>Client-supplied FASTQ files and sample manifest</w:t>
      </w:r>
    </w:p>
    <w:p>
      <w:pPr>
        <w:pStyle w:val="ListBullet"/>
      </w:pPr>
      <w:r>
        <w:t>Donor, batch and stimulation metadata reconciled against the manifest before any analysis</w:t>
      </w:r>
    </w:p>
    <w:p>
      <w:pPr>
        <w:pStyle w:val="ListBullet"/>
      </w:pPr>
      <w:r>
        <w:t>Public reference expression data for tissue context</w:t>
      </w:r>
    </w:p>
    <w:p>
      <w:pPr>
        <w:pStyle w:val="Heading1"/>
      </w:pPr>
      <w:r>
        <w:t>3 Approach</w:t>
      </w:r>
    </w:p>
    <w:p>
      <w:pPr>
        <w:pStyle w:val="ListBullet"/>
      </w:pPr>
      <w:r>
        <w:t>Data acceptance: read QC, sample identity checks, outlier review</w:t>
      </w:r>
    </w:p>
    <w:p>
      <w:pPr>
        <w:pStyle w:val="ListBullet"/>
      </w:pPr>
      <w:r>
        <w:t>RNA-seq differential expression with donor as a blocking factor</w:t>
      </w:r>
    </w:p>
    <w:p>
      <w:pPr>
        <w:pStyle w:val="ListBullet"/>
      </w:pPr>
      <w:r>
        <w:t>Sensitivity analysis: results with and without the two flagged donors</w:t>
      </w:r>
    </w:p>
    <w:p>
      <w:pPr>
        <w:pStyle w:val="ListBullet"/>
      </w:pPr>
      <w:r>
        <w:t>Omics target prioritisation: evidence score per candidate combining expression, pathway context and tissue specificity</w:t>
      </w:r>
    </w:p>
    <w:p>
      <w:r>
        <w:t>Model uncertainty will be reported plainly; candidates whose ranking depends on a single donor will be flagged rather than dropped.</w:t>
      </w:r>
    </w:p>
    <w:p>
      <w:pPr>
        <w:pStyle w:val="Heading1"/>
      </w:pPr>
      <w:r>
        <w:t>4 Deliverables and timing</w:t>
      </w:r>
    </w:p>
    <w:p>
      <w:pPr>
        <w:pStyle w:val="ListBullet"/>
      </w:pPr>
      <w:r>
        <w:t>Data acceptance note and interim readout (about 3 weeks after data receipt)</w:t>
      </w:r>
    </w:p>
    <w:p>
      <w:pPr>
        <w:pStyle w:val="ListBullet"/>
      </w:pPr>
      <w:r>
        <w:t>Final readout deck and ranked target cards</w:t>
      </w:r>
    </w:p>
    <w:p>
      <w:pPr>
        <w:pStyle w:val="ListBullet"/>
      </w:pPr>
      <w:r>
        <w:t>Analysis notebook and versioned pipeline record</w:t>
      </w:r>
    </w:p>
    <w:p>
      <w:pPr>
        <w:pStyle w:val="Heading1"/>
      </w:pPr>
      <w:r>
        <w:t>5 Price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183C4C"/>
          </w:tcPr>
          <w:p>
            <w:r>
              <w:rPr>
                <w:b/>
                <w:color w:val="FFFFFF"/>
                <w:sz w:val="18"/>
              </w:rPr>
              <w:t>Work package</w:t>
            </w:r>
          </w:p>
        </w:tc>
        <w:tc>
          <w:tcPr>
            <w:tcW w:type="dxa" w:w="4706"/>
            <w:shd w:val="clear" w:color="auto" w:fill="183C4C"/>
          </w:tcPr>
          <w:p>
            <w:r>
              <w:rPr>
                <w:b/>
                <w:color w:val="FFFFFF"/>
                <w:sz w:val="18"/>
              </w:rPr>
              <w:t>Price (GBP)</w:t>
            </w:r>
          </w:p>
        </w:tc>
      </w:tr>
      <w:tr>
        <w:tc>
          <w:tcPr>
            <w:tcW w:type="dxa" w:w="4706"/>
          </w:tcPr>
          <w:p>
            <w:r>
              <w:rPr>
                <w:sz w:val="18"/>
              </w:rPr>
              <w:t>Data acceptance and QC</w:t>
            </w:r>
          </w:p>
        </w:tc>
        <w:tc>
          <w:tcPr>
            <w:tcW w:type="dxa" w:w="4706"/>
          </w:tcPr>
          <w:p>
            <w:r>
              <w:rPr>
                <w:sz w:val="18"/>
              </w:rPr>
              <w:t>£8,200</w:t>
            </w:r>
          </w:p>
        </w:tc>
      </w:tr>
      <w:tr>
        <w:tc>
          <w:tcPr>
            <w:tcW w:type="dxa" w:w="4706"/>
          </w:tcPr>
          <w:p>
            <w:r>
              <w:rPr>
                <w:sz w:val="18"/>
              </w:rPr>
              <w:t>Differential expression and sensitivity analysis</w:t>
            </w:r>
          </w:p>
        </w:tc>
        <w:tc>
          <w:tcPr>
            <w:tcW w:type="dxa" w:w="4706"/>
          </w:tcPr>
          <w:p>
            <w:r>
              <w:rPr>
                <w:sz w:val="18"/>
              </w:rPr>
              <w:t>£24,600</w:t>
            </w:r>
          </w:p>
        </w:tc>
      </w:tr>
      <w:tr>
        <w:tc>
          <w:tcPr>
            <w:tcW w:type="dxa" w:w="4706"/>
          </w:tcPr>
          <w:p>
            <w:r>
              <w:rPr>
                <w:sz w:val="18"/>
              </w:rPr>
              <w:t>Target prioritisation and target cards</w:t>
            </w:r>
          </w:p>
        </w:tc>
        <w:tc>
          <w:tcPr>
            <w:tcW w:type="dxa" w:w="4706"/>
          </w:tcPr>
          <w:p>
            <w:r>
              <w:rPr>
                <w:sz w:val="18"/>
              </w:rPr>
              <w:t>£16,800</w:t>
            </w:r>
          </w:p>
        </w:tc>
      </w:tr>
      <w:tr>
        <w:tc>
          <w:tcPr>
            <w:tcW w:type="dxa" w:w="4706"/>
          </w:tcPr>
          <w:p>
            <w:r>
              <w:rPr>
                <w:sz w:val="18"/>
              </w:rPr>
              <w:t>Readouts</w:t>
            </w:r>
          </w:p>
        </w:tc>
        <w:tc>
          <w:tcPr>
            <w:tcW w:type="dxa" w:w="4706"/>
          </w:tcPr>
          <w:p>
            <w:r>
              <w:rPr>
                <w:sz w:val="18"/>
              </w:rPr>
              <w:t>£4,800</w:t>
            </w:r>
          </w:p>
        </w:tc>
      </w:tr>
      <w:tr>
        <w:tc>
          <w:tcPr>
            <w:tcW w:type="dxa" w:w="4706"/>
          </w:tcPr>
          <w:p>
            <w:r>
              <w:rPr>
                <w:sz w:val="18"/>
              </w:rPr>
              <w:t>Total</w:t>
            </w:r>
          </w:p>
        </w:tc>
        <w:tc>
          <w:tcPr>
            <w:tcW w:type="dxa" w:w="4706"/>
          </w:tcPr>
          <w:p>
            <w:r>
              <w:rPr>
                <w:sz w:val="18"/>
              </w:rPr>
              <w:t>£54,400</w:t>
            </w:r>
          </w:p>
        </w:tc>
      </w:tr>
    </w:tbl>
    <w:p/>
    <w:p>
      <w:r>
        <w:t>Fixed price, excluding VAT. Additional datasets quoted separately.</w:t>
      </w:r>
    </w:p>
    <w:p>
      <w:pPr>
        <w:pStyle w:val="Heading1"/>
      </w:pPr>
      <w:r>
        <w:t>6 Notes</w:t>
      </w:r>
    </w:p>
    <w:p>
      <w:r>
        <w:rPr>
          <w:i/>
          <w:sz w:val="18"/>
        </w:rPr>
        <w:t>Corvenlith Therapeutics is a new client for Quenverell. Please note the client name when raising the purchase order: our accounts team has previously confused it with an unrelated group account of similar spelling.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</w:tcPr>
          <w:p>
            <w:r>
              <w:t>Name</w:t>
            </w:r>
          </w:p>
        </w:tc>
        <w:tc>
          <w:tcPr>
            <w:tcW w:type="dxa" w:w="2353"/>
          </w:tcPr>
          <w:p>
            <w:r>
              <w:t>Role</w:t>
            </w:r>
          </w:p>
        </w:tc>
        <w:tc>
          <w:tcPr>
            <w:tcW w:type="dxa" w:w="2353"/>
          </w:tcPr>
          <w:p>
            <w:r>
              <w:t>Signature</w:t>
            </w:r>
          </w:p>
        </w:tc>
        <w:tc>
          <w:tcPr>
            <w:tcW w:type="dxa" w:w="2353"/>
          </w:tcPr>
          <w:p>
            <w:r>
              <w:t>Date</w:t>
            </w:r>
          </w:p>
        </w:tc>
      </w:tr>
      <w:tr>
        <w:tc>
          <w:tcPr>
            <w:tcW w:type="dxa" w:w="2353"/>
          </w:tcPr>
          <w:p>
            <w:r>
              <w:t>Tomasz Zawiernicki</w:t>
            </w:r>
          </w:p>
        </w:tc>
        <w:tc>
          <w:tcPr>
            <w:tcW w:type="dxa" w:w="2353"/>
          </w:tcPr>
          <w:p>
            <w:r>
              <w:t>Head of Bioinformatics</w:t>
            </w:r>
          </w:p>
        </w:tc>
        <w:tc>
          <w:tcPr>
            <w:tcW w:type="dxa" w:w="2353"/>
          </w:tcPr>
          <w:p>
            <w:r>
              <w:rPr>
                <w:rFonts w:ascii="Georgia" w:hAnsi="Georgia"/>
                <w:i/>
              </w:rPr>
              <w:t>Zawiernicki</w:t>
            </w:r>
          </w:p>
        </w:tc>
        <w:tc>
          <w:tcPr>
            <w:tcW w:type="dxa" w:w="2353"/>
          </w:tcPr>
          <w:p>
            <w:r>
              <w:t>11/09/2023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646464"/>
        <w:sz w:val="16"/>
      </w:rPr>
      <w:t>Quenverell Computational Ltd, a Tarnovell company | Confidential</w:t>
    </w:r>
    <w:r>
      <w:t xml:space="preserve">    Page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646464"/>
        <w:sz w:val="16"/>
      </w:rPr>
      <w:t>QV.23.100 | Proposal v1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83C4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83C4C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83C4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83C4C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LinksUpToDate>false</LinksUpToDate>
  <CharactersWithSpaces>0</CharactersWithSpaces>
  <SharedDoc>false</SharedDoc>
  <HyperlinkBase/>
  <HyperlinksChanged>false</HyperlinksChanged>
  <Company>Tarnovell Bioscience Group Ltd</Company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QV.23.100 proposal - Corvenlith Therapeutics</dc:title>
  <dc:subject>RNA-seq reanalysis and target ranking</dc:subject>
  <dc:creator>Tomasz Zawiernicki</dc:creator>
  <cp:keywords/>
  <dc:description>generated by python-docx</dc:description>
  <cp:lastModifiedBy>Tomasz Zawiernicki</cp:lastModifiedBy>
  <cp:revision>10</cp:revision>
  <dcterms:created xsi:type="dcterms:W3CDTF">2023-09-11T17:05:09Z</dcterms:created>
  <dcterms:modified xsi:type="dcterms:W3CDTF">2023-09-12T16:57:33Z</dcterms:modified>
  <cp:category/>
</cp:coreProperties>
</file>