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35434"/>
          <w:sz w:val="18"/>
        </w:rPr>
        <w:t>Westravelle Analytical Ltd, a Tarnovell company</w:t>
      </w:r>
    </w:p>
    <w:p>
      <w:pPr>
        <w:pStyle w:val="Title"/>
      </w:pPr>
      <w:r>
        <w:t>PROPOSAL: ICH STABILITY STUDY AND METHOD QUALIFICATION</w:t>
      </w:r>
    </w:p>
    <w:p>
      <w:r>
        <w:rPr>
          <w:i/>
          <w:sz w:val="26"/>
        </w:rPr>
        <w:t>CVL tablets, lot 3</w:t>
      </w:r>
    </w:p>
    <w:p>
      <w:r>
        <w:t>Proposal ref: WA/2020/313 Rev 01</w:t>
      </w:r>
    </w:p>
    <w:p>
      <w:r>
        <w:t>Client: Corvenlea Pharmaceuticals plc (formerly Corvenlea Ltd)</w:t>
      </w:r>
    </w:p>
    <w:p>
      <w:r>
        <w:t>Date: 05/11/2020</w:t>
      </w:r>
    </w:p>
    <w:p>
      <w:r>
        <w:t>Prepared by: Dr A. Penrose, Head of Analytical Services</w:t>
      </w:r>
    </w:p>
    <w:p>
      <w:pPr>
        <w:pStyle w:val="Heading1"/>
      </w:pPr>
      <w:r>
        <w:t>1. PURPOSE</w:t>
      </w:r>
    </w:p>
    <w:p>
      <w:r>
        <w:t>1.1 Corvenlea Pharmaceuticals plc has asked Westravelle Analytical to place one lot of CVL immediate-release tablets on an ICH stability programme and to qualify the assay and related-substances HPLC method used for the pulls.</w:t>
      </w:r>
    </w:p>
    <w:p>
      <w:r>
        <w:t>1.2 Client records transferred from Corvenlea Ltd are referenced under the current company name. Prior work for the client within the group (DMPK, 2016) was carried out by Merrivoss Bioanalysis under the name Corvenlea Ltd.</w:t>
      </w:r>
    </w:p>
    <w:p>
      <w:pPr>
        <w:pStyle w:val="Heading1"/>
      </w:pPr>
      <w:r>
        <w:t>2. MATERIALS</w:t>
      </w:r>
    </w:p>
    <w:p>
      <w:pPr>
        <w:pStyle w:val="ListBullet"/>
      </w:pPr>
      <w:r>
        <w:t>2.1 Stability lot: CVL tablets, lot 3, packed in HDPE bottles with induction seal and desiccant</w:t>
      </w:r>
    </w:p>
    <w:p>
      <w:pPr>
        <w:pStyle w:val="ListBullet"/>
      </w:pPr>
      <w:r>
        <w:t>2.2 Quantity required: 420 tablets per condition plus 10% contingency</w:t>
      </w:r>
    </w:p>
    <w:p>
      <w:pPr>
        <w:pStyle w:val="ListBullet"/>
      </w:pPr>
      <w:r>
        <w:t>2.3 Reference standard and impurity markers supplied by the client with certificates of analysis</w:t>
      </w:r>
    </w:p>
    <w:p>
      <w:pPr>
        <w:pStyle w:val="Heading1"/>
      </w:pPr>
      <w:r>
        <w:t>3. STORAGE CONDITIONS AND PULL SCHEDULE</w:t>
      </w:r>
    </w:p>
    <w:p>
      <w:r>
        <w:rPr>
          <w:b/>
          <w:sz w:val="18"/>
        </w:rPr>
        <w:t>Table 1 Stability protocol</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735434"/>
          </w:tcPr>
          <w:p>
            <w:r>
              <w:rPr>
                <w:b/>
                <w:color w:val="FFFFFF"/>
                <w:sz w:val="18"/>
              </w:rPr>
              <w:t>Condition</w:t>
            </w:r>
          </w:p>
        </w:tc>
        <w:tc>
          <w:tcPr>
            <w:tcW w:type="dxa" w:w="3137"/>
            <w:shd w:val="clear" w:color="auto" w:fill="735434"/>
          </w:tcPr>
          <w:p>
            <w:r>
              <w:rPr>
                <w:b/>
                <w:color w:val="FFFFFF"/>
                <w:sz w:val="18"/>
              </w:rPr>
              <w:t>Pulls (months)</w:t>
            </w:r>
          </w:p>
        </w:tc>
        <w:tc>
          <w:tcPr>
            <w:tcW w:type="dxa" w:w="3137"/>
            <w:shd w:val="clear" w:color="auto" w:fill="735434"/>
          </w:tcPr>
          <w:p>
            <w:r>
              <w:rPr>
                <w:b/>
                <w:color w:val="FFFFFF"/>
                <w:sz w:val="18"/>
              </w:rPr>
              <w:t>Tests</w:t>
            </w:r>
          </w:p>
        </w:tc>
      </w:tr>
      <w:tr>
        <w:tc>
          <w:tcPr>
            <w:tcW w:type="dxa" w:w="3137"/>
          </w:tcPr>
          <w:p>
            <w:r>
              <w:rPr>
                <w:sz w:val="18"/>
              </w:rPr>
              <w:t>25 °C/60% RH (long term)</w:t>
            </w:r>
          </w:p>
        </w:tc>
        <w:tc>
          <w:tcPr>
            <w:tcW w:type="dxa" w:w="3137"/>
          </w:tcPr>
          <w:p>
            <w:r>
              <w:rPr>
                <w:sz w:val="18"/>
              </w:rPr>
              <w:t>0, 1, 3, 6, 9, 12</w:t>
            </w:r>
          </w:p>
        </w:tc>
        <w:tc>
          <w:tcPr>
            <w:tcW w:type="dxa" w:w="3137"/>
          </w:tcPr>
          <w:p>
            <w:r>
              <w:rPr>
                <w:sz w:val="18"/>
              </w:rPr>
              <w:t>Appearance, assay, related substances, water (KF)</w:t>
            </w:r>
          </w:p>
        </w:tc>
      </w:tr>
      <w:tr>
        <w:tc>
          <w:tcPr>
            <w:tcW w:type="dxa" w:w="3137"/>
          </w:tcPr>
          <w:p>
            <w:r>
              <w:rPr>
                <w:sz w:val="18"/>
              </w:rPr>
              <w:t>30 °C/65% RH (intermediate)</w:t>
            </w:r>
          </w:p>
        </w:tc>
        <w:tc>
          <w:tcPr>
            <w:tcW w:type="dxa" w:w="3137"/>
          </w:tcPr>
          <w:p>
            <w:r>
              <w:rPr>
                <w:sz w:val="18"/>
              </w:rPr>
              <w:t>0, 3, 6, 9, 12</w:t>
            </w:r>
          </w:p>
        </w:tc>
        <w:tc>
          <w:tcPr>
            <w:tcW w:type="dxa" w:w="3137"/>
          </w:tcPr>
          <w:p>
            <w:r>
              <w:rPr>
                <w:sz w:val="18"/>
              </w:rPr>
              <w:t>As above</w:t>
            </w:r>
          </w:p>
        </w:tc>
      </w:tr>
      <w:tr>
        <w:tc>
          <w:tcPr>
            <w:tcW w:type="dxa" w:w="3137"/>
          </w:tcPr>
          <w:p>
            <w:r>
              <w:rPr>
                <w:sz w:val="18"/>
              </w:rPr>
              <w:t>40 °C/75% RH (accelerated)</w:t>
            </w:r>
          </w:p>
        </w:tc>
        <w:tc>
          <w:tcPr>
            <w:tcW w:type="dxa" w:w="3137"/>
          </w:tcPr>
          <w:p>
            <w:r>
              <w:rPr>
                <w:sz w:val="18"/>
              </w:rPr>
              <w:t>0, 1, 3, 6</w:t>
            </w:r>
          </w:p>
        </w:tc>
        <w:tc>
          <w:tcPr>
            <w:tcW w:type="dxa" w:w="3137"/>
          </w:tcPr>
          <w:p>
            <w:r>
              <w:rPr>
                <w:sz w:val="18"/>
              </w:rPr>
              <w:t>As above</w:t>
            </w:r>
          </w:p>
        </w:tc>
      </w:tr>
    </w:tbl>
    <w:p/>
    <w:p>
      <w:r>
        <w:t>3.1 Chambers are mapped annually and monitored continuously; excursions are handled under SOP WA-SOP-018 and reported as deviation notes.</w:t>
      </w:r>
    </w:p>
    <w:p>
      <w:pPr>
        <w:pStyle w:val="Heading1"/>
      </w:pPr>
      <w:r>
        <w:t>4. METHOD QUALIFICATION</w:t>
      </w:r>
    </w:p>
    <w:p>
      <w:r>
        <w:t>4.1 Before the 0-month pull the client's HPLC method will be qualified for specificity, linearity, accuracy, repeatability, intermediate precision and LOQ for the two specified impurities (RRT 0.86 and RRT 1.12).</w:t>
      </w:r>
    </w:p>
    <w:p>
      <w:r>
        <w:t>4.2 System suitability is run with every sequence; results outside the protocol limits invalidate the sequence.</w:t>
      </w:r>
    </w:p>
    <w:p>
      <w:pPr>
        <w:pStyle w:val="Heading1"/>
      </w:pPr>
      <w:r>
        <w:t>5. REPORTING</w:t>
      </w:r>
    </w:p>
    <w:p>
      <w:pPr>
        <w:pStyle w:val="ListBullet"/>
      </w:pPr>
      <w:r>
        <w:t>5.1 Data summary after each pull (sequence sheets and trend tables)</w:t>
      </w:r>
    </w:p>
    <w:p>
      <w:pPr>
        <w:pStyle w:val="ListBullet"/>
      </w:pPr>
      <w:r>
        <w:t>5.2 Interim report at 6 months</w:t>
      </w:r>
    </w:p>
    <w:p>
      <w:pPr>
        <w:pStyle w:val="ListBullet"/>
      </w:pPr>
      <w:r>
        <w:t>5.3 Final report at 12 months with trend plots against specification</w:t>
      </w:r>
    </w:p>
    <w:p>
      <w:pPr>
        <w:pStyle w:val="Heading1"/>
      </w:pPr>
      <w:r>
        <w:t>6. PRICE</w:t>
      </w:r>
    </w:p>
    <w:p>
      <w:r>
        <w:rPr>
          <w:b/>
          <w:sz w:val="18"/>
        </w:rPr>
        <w:t>Table 2 Fixed price</w:t>
      </w:r>
    </w:p>
    <w:tbl>
      <w:tblPr>
        <w:tblStyle w:val="TableGrid"/>
        <w:tblW w:type="auto" w:w="0"/>
        <w:tblLook w:firstColumn="1" w:firstRow="1" w:lastColumn="0" w:lastRow="0" w:noHBand="0" w:noVBand="1" w:val="04A0"/>
      </w:tblPr>
      <w:tblGrid>
        <w:gridCol w:w="4706"/>
        <w:gridCol w:w="4706"/>
      </w:tblGrid>
      <w:tr>
        <w:tc>
          <w:tcPr>
            <w:tcW w:type="dxa" w:w="4706"/>
            <w:shd w:val="clear" w:color="auto" w:fill="735434"/>
          </w:tcPr>
          <w:p>
            <w:r>
              <w:rPr>
                <w:b/>
                <w:color w:val="FFFFFF"/>
                <w:sz w:val="18"/>
              </w:rPr>
              <w:t>Item</w:t>
            </w:r>
          </w:p>
        </w:tc>
        <w:tc>
          <w:tcPr>
            <w:tcW w:type="dxa" w:w="4706"/>
            <w:shd w:val="clear" w:color="auto" w:fill="735434"/>
          </w:tcPr>
          <w:p>
            <w:r>
              <w:rPr>
                <w:b/>
                <w:color w:val="FFFFFF"/>
                <w:sz w:val="18"/>
              </w:rPr>
              <w:t>Amount (GBP)</w:t>
            </w:r>
          </w:p>
        </w:tc>
      </w:tr>
      <w:tr>
        <w:tc>
          <w:tcPr>
            <w:tcW w:type="dxa" w:w="4706"/>
          </w:tcPr>
          <w:p>
            <w:r>
              <w:rPr>
                <w:sz w:val="18"/>
              </w:rPr>
              <w:t>Method qualification (assay and related substances)</w:t>
            </w:r>
          </w:p>
        </w:tc>
        <w:tc>
          <w:tcPr>
            <w:tcW w:type="dxa" w:w="4706"/>
          </w:tcPr>
          <w:p>
            <w:r>
              <w:rPr>
                <w:sz w:val="18"/>
              </w:rPr>
              <w:t>£9,800</w:t>
            </w:r>
          </w:p>
        </w:tc>
      </w:tr>
      <w:tr>
        <w:tc>
          <w:tcPr>
            <w:tcW w:type="dxa" w:w="4706"/>
          </w:tcPr>
          <w:p>
            <w:r>
              <w:rPr>
                <w:sz w:val="18"/>
              </w:rPr>
              <w:t>Stability storage, 3 conditions, 12 months</w:t>
            </w:r>
          </w:p>
        </w:tc>
        <w:tc>
          <w:tcPr>
            <w:tcW w:type="dxa" w:w="4706"/>
          </w:tcPr>
          <w:p>
            <w:r>
              <w:rPr>
                <w:sz w:val="18"/>
              </w:rPr>
              <w:t>£11,400</w:t>
            </w:r>
          </w:p>
        </w:tc>
      </w:tr>
      <w:tr>
        <w:tc>
          <w:tcPr>
            <w:tcW w:type="dxa" w:w="4706"/>
          </w:tcPr>
          <w:p>
            <w:r>
              <w:rPr>
                <w:sz w:val="18"/>
              </w:rPr>
              <w:t>Pull testing, 15 time points</w:t>
            </w:r>
          </w:p>
        </w:tc>
        <w:tc>
          <w:tcPr>
            <w:tcW w:type="dxa" w:w="4706"/>
          </w:tcPr>
          <w:p>
            <w:r>
              <w:rPr>
                <w:sz w:val="18"/>
              </w:rPr>
              <w:t>£27,300</w:t>
            </w:r>
          </w:p>
        </w:tc>
      </w:tr>
      <w:tr>
        <w:tc>
          <w:tcPr>
            <w:tcW w:type="dxa" w:w="4706"/>
          </w:tcPr>
          <w:p>
            <w:r>
              <w:rPr>
                <w:sz w:val="18"/>
              </w:rPr>
              <w:t>Interim and final reports</w:t>
            </w:r>
          </w:p>
        </w:tc>
        <w:tc>
          <w:tcPr>
            <w:tcW w:type="dxa" w:w="4706"/>
          </w:tcPr>
          <w:p>
            <w:r>
              <w:rPr>
                <w:sz w:val="18"/>
              </w:rPr>
              <w:t>£4,500</w:t>
            </w:r>
          </w:p>
        </w:tc>
      </w:tr>
      <w:tr>
        <w:tc>
          <w:tcPr>
            <w:tcW w:type="dxa" w:w="4706"/>
          </w:tcPr>
          <w:p>
            <w:r>
              <w:rPr>
                <w:sz w:val="18"/>
              </w:rPr>
              <w:t>Total</w:t>
            </w:r>
          </w:p>
        </w:tc>
        <w:tc>
          <w:tcPr>
            <w:tcW w:type="dxa" w:w="4706"/>
          </w:tcPr>
          <w:p>
            <w:r>
              <w:rPr>
                <w:sz w:val="18"/>
              </w:rPr>
              <w:t>£53,000</w:t>
            </w:r>
          </w:p>
        </w:tc>
      </w:tr>
    </w:tbl>
    <w:p/>
    <w:p>
      <w:r>
        <w:t>6.1 Prices exclude VAT. 30% invoiced at study start, 40% at the 6-month interim report and 30% on the final report.</w:t>
      </w:r>
    </w:p>
    <w:p>
      <w:pPr>
        <w:pStyle w:val="Heading1"/>
      </w:pPr>
      <w:r>
        <w:t>7. ACCEPTANCE</w:t>
      </w:r>
    </w:p>
    <w:p>
      <w:r>
        <w:t>7.1 This proposal is valid for 60 days. Work starts on receipt of a purchase order and the stability lot.</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Alice Penrose</w:t>
            </w:r>
          </w:p>
        </w:tc>
        <w:tc>
          <w:tcPr>
            <w:tcW w:type="dxa" w:w="2353"/>
          </w:tcPr>
          <w:p>
            <w:r>
              <w:t>Head of Analytical Services</w:t>
            </w:r>
          </w:p>
        </w:tc>
        <w:tc>
          <w:tcPr>
            <w:tcW w:type="dxa" w:w="2353"/>
          </w:tcPr>
          <w:p>
            <w:r>
              <w:rPr>
                <w:rFonts w:ascii="Georgia" w:hAnsi="Georgia"/>
                <w:i/>
              </w:rPr>
              <w:t>Penrose</w:t>
            </w:r>
          </w:p>
        </w:tc>
        <w:tc>
          <w:tcPr>
            <w:tcW w:type="dxa" w:w="2353"/>
          </w:tcPr>
          <w:p>
            <w:r>
              <w:t>05/11/2020</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Westravelle Analytical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WA/2020/313 | Proposal | Rev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3543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3543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354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354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Westravelle Analytical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WA/2020/313 Stability proposal - Corvenlea Pharmaceuticals plc</dc:title>
  <dc:subject>ICH stability and method qualification</dc:subject>
  <dc:creator>Alice Penrose</dc:creator>
  <cp:keywords/>
  <dc:description>generated by python-docx</dc:description>
  <cp:lastModifiedBy>Alice Penrose</cp:lastModifiedBy>
  <cp:revision>16</cp:revision>
  <dcterms:created xsi:type="dcterms:W3CDTF">2020-11-05T10:20:40Z</dcterms:created>
  <dcterms:modified xsi:type="dcterms:W3CDTF">2020-11-06T17:54:57Z</dcterms:modified>
  <cp:category/>
</cp:coreProperties>
</file>