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Westravelle Analytical Ltd, a Tarnovell company</w:t>
      </w:r>
    </w:p>
    <w:p>
      <w:pPr>
        <w:pStyle w:val="Title"/>
      </w:pPr>
      <w:r>
        <w:t>QP07 Clinical Prototype: Stability Hold Note</w:t>
      </w:r>
    </w:p>
    <w:p>
      <w:r>
        <w:rPr>
          <w:i/>
          <w:sz w:val="26"/>
        </w:rPr>
        <w:t>Deviation note, interim</w:t>
      </w:r>
    </w:p>
    <w:p>
      <w:r>
        <w:t>Project WA/2025/407 (LIMS WST-25-012645)</w:t>
      </w:r>
    </w:p>
    <w:p>
      <w:r>
        <w:t>Client: Quorenthel Pharma GmbH</w:t>
      </w:r>
    </w:p>
    <w:p>
      <w:r>
        <w:t>Date: 06/02/2026</w:t>
      </w:r>
    </w:p>
    <w:p>
      <w:pPr>
        <w:pStyle w:val="Heading1"/>
        <w:keepNext/>
      </w:pPr>
      <w:r>
        <w:t>1 Purpose</w:t>
      </w:r>
    </w:p>
    <w:p>
      <w:r>
        <w:t>This note records the hold placed on new pulls from the QP07 stability programme after Quorenthel Pharma GmbH notified us of a change to the prototype composition. It sets out the interim data already generated, the samples still in chamber and the points that need client instruction before testing can restart. Conclusions are interim and stay within the tested conditions.</w:t>
      </w:r>
    </w:p>
    <w:p>
      <w:pPr>
        <w:pStyle w:val="Heading1"/>
        <w:keepNext/>
      </w:pPr>
      <w:r>
        <w:t>2 Background</w:t>
      </w:r>
    </w:p>
    <w:p>
      <w:r>
        <w:t>The stability programme for the QP07 clinical prototype runs under the ICH chamber programme at 25 °C/60% RH, 30 °C/65% RH and 40 °C/75% RH. The method validation for the assay and related substances was completed in the HPLC method qualification and is summarised in Table 2.</w:t>
      </w:r>
    </w:p>
    <w:p>
      <w:commentRangeStart w:id="0"/>
      <w:r>
        <w:t>On the notification received from the client, the prototype composition is being changed and the current lot will not be used for the remaining pulls. New pulls were suspended from the date of the hold. Samples already in the chambers are retained under the storage conditions of the protocol.</w:t>
      </w:r>
      <w:commentRangeEnd w:id="0"/>
      <w:r>
        <w:rPr>
          <w:rStyle w:val="CommentReference"/>
        </w:rPr>
        <w:commentReference w:id="0"/>
      </w:r>
    </w:p>
    <w:p>
      <w:pPr>
        <w:pStyle w:val="Heading1"/>
        <w:keepNext/>
      </w:pPr>
      <w:r>
        <w:t>3 Interim stability results</w:t>
      </w:r>
    </w:p>
    <w:p>
      <w:r>
        <w:t>Table 1 gives the initial (time-zero) results placed at all three conditions; every result complies with the specification, with assay at 99.2% label claim. New pulls were suspended before the first scheduled timepoint, so no trend with time can be assessed yet.</w:t>
      </w:r>
    </w:p>
    <w:p>
      <w:pPr>
        <w:keepNext/>
      </w:pPr>
      <w:r>
        <w:rPr>
          <w:b/>
          <w:sz w:val="18"/>
        </w:rPr>
        <w:t>Table 1 Interim stability results (assay % label claim; impurities % area; water KF % w/w)</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83C4C"/>
          </w:tcPr>
          <w:p>
            <w:pPr>
              <w:keepNext/>
            </w:pPr>
            <w:r>
              <w:rPr>
                <w:b/>
                <w:color w:val="FFFFFF"/>
                <w:sz w:val="16"/>
              </w:rPr>
              <w:t>Condition</w:t>
            </w:r>
          </w:p>
        </w:tc>
        <w:tc>
          <w:tcPr>
            <w:tcW w:type="dxa" w:w="1176"/>
            <w:shd w:val="clear" w:color="auto" w:fill="183C4C"/>
          </w:tcPr>
          <w:p>
            <w:pPr>
              <w:keepNext/>
            </w:pPr>
            <w:r>
              <w:rPr>
                <w:b/>
                <w:color w:val="FFFFFF"/>
                <w:sz w:val="16"/>
              </w:rPr>
              <w:t>Timepoint (months)</w:t>
            </w:r>
          </w:p>
        </w:tc>
        <w:tc>
          <w:tcPr>
            <w:tcW w:type="dxa" w:w="1176"/>
            <w:shd w:val="clear" w:color="auto" w:fill="183C4C"/>
          </w:tcPr>
          <w:p>
            <w:pPr>
              <w:keepNext/>
            </w:pPr>
            <w:r>
              <w:rPr>
                <w:b/>
                <w:color w:val="FFFFFF"/>
                <w:sz w:val="16"/>
              </w:rPr>
              <w:t>Assay (% LC)</w:t>
            </w:r>
          </w:p>
        </w:tc>
        <w:tc>
          <w:tcPr>
            <w:tcW w:type="dxa" w:w="1176"/>
            <w:shd w:val="clear" w:color="auto" w:fill="183C4C"/>
          </w:tcPr>
          <w:p>
            <w:pPr>
              <w:keepNext/>
            </w:pPr>
            <w:r>
              <w:rPr>
                <w:b/>
                <w:color w:val="FFFFFF"/>
                <w:sz w:val="16"/>
              </w:rPr>
              <w:t>Imp A RRT 0.86 (%)</w:t>
            </w:r>
          </w:p>
        </w:tc>
        <w:tc>
          <w:tcPr>
            <w:tcW w:type="dxa" w:w="1176"/>
            <w:shd w:val="clear" w:color="auto" w:fill="183C4C"/>
          </w:tcPr>
          <w:p>
            <w:pPr>
              <w:keepNext/>
            </w:pPr>
            <w:r>
              <w:rPr>
                <w:b/>
                <w:color w:val="FFFFFF"/>
                <w:sz w:val="16"/>
              </w:rPr>
              <w:t>Imp B RRT 1.12 (%)</w:t>
            </w:r>
          </w:p>
        </w:tc>
        <w:tc>
          <w:tcPr>
            <w:tcW w:type="dxa" w:w="1176"/>
            <w:shd w:val="clear" w:color="auto" w:fill="183C4C"/>
          </w:tcPr>
          <w:p>
            <w:pPr>
              <w:keepNext/>
            </w:pPr>
            <w:r>
              <w:rPr>
                <w:b/>
                <w:color w:val="FFFFFF"/>
                <w:sz w:val="16"/>
              </w:rPr>
              <w:t>Total impurities (%)</w:t>
            </w:r>
          </w:p>
        </w:tc>
        <w:tc>
          <w:tcPr>
            <w:tcW w:type="dxa" w:w="1176"/>
            <w:shd w:val="clear" w:color="auto" w:fill="183C4C"/>
          </w:tcPr>
          <w:p>
            <w:pPr>
              <w:keepNext/>
            </w:pPr>
            <w:r>
              <w:rPr>
                <w:b/>
                <w:color w:val="FFFFFF"/>
                <w:sz w:val="16"/>
              </w:rPr>
              <w:t>Water KF (% w/w)</w:t>
            </w:r>
          </w:p>
        </w:tc>
        <w:tc>
          <w:tcPr>
            <w:tcW w:type="dxa" w:w="1176"/>
            <w:shd w:val="clear" w:color="auto" w:fill="183C4C"/>
          </w:tcPr>
          <w:p>
            <w:pPr>
              <w:keepNext/>
            </w:pPr>
            <w:r>
              <w:rPr>
                <w:b/>
                <w:color w:val="FFFFFF"/>
                <w:sz w:val="16"/>
              </w:rPr>
              <w:t>Result</w:t>
            </w:r>
          </w:p>
        </w:tc>
      </w:tr>
      <w:tr>
        <w:tc>
          <w:tcPr>
            <w:tcW w:type="dxa" w:w="1176"/>
          </w:tcPr>
          <w:p>
            <w:pPr>
              <w:keepNext/>
            </w:pPr>
            <w:r>
              <w:rPr>
                <w:sz w:val="16"/>
              </w:rPr>
              <w:t>25 °C/60% RH</w:t>
            </w:r>
          </w:p>
        </w:tc>
        <w:tc>
          <w:tcPr>
            <w:tcW w:type="dxa" w:w="1176"/>
          </w:tcPr>
          <w:p>
            <w:pPr>
              <w:keepNext/>
            </w:pPr>
            <w:r>
              <w:rPr>
                <w:sz w:val="16"/>
              </w:rPr>
              <w:t>0</w:t>
            </w:r>
          </w:p>
        </w:tc>
        <w:tc>
          <w:tcPr>
            <w:tcW w:type="dxa" w:w="1176"/>
          </w:tcPr>
          <w:p>
            <w:pPr>
              <w:keepNext/>
            </w:pPr>
            <w:r>
              <w:rPr>
                <w:sz w:val="16"/>
              </w:rPr>
              <w:t>99.2</w:t>
            </w:r>
          </w:p>
        </w:tc>
        <w:tc>
          <w:tcPr>
            <w:tcW w:type="dxa" w:w="1176"/>
          </w:tcPr>
          <w:p>
            <w:pPr>
              <w:keepNext/>
            </w:pPr>
            <w:r>
              <w:rPr>
                <w:sz w:val="16"/>
              </w:rPr>
              <w:t>0.06</w:t>
            </w:r>
          </w:p>
        </w:tc>
        <w:tc>
          <w:tcPr>
            <w:tcW w:type="dxa" w:w="1176"/>
          </w:tcPr>
          <w:p>
            <w:pPr>
              <w:keepNext/>
            </w:pPr>
            <w:r>
              <w:rPr>
                <w:sz w:val="16"/>
              </w:rPr>
              <w:t>&lt;0.05</w:t>
            </w:r>
          </w:p>
        </w:tc>
        <w:tc>
          <w:tcPr>
            <w:tcW w:type="dxa" w:w="1176"/>
          </w:tcPr>
          <w:p>
            <w:pPr>
              <w:keepNext/>
            </w:pPr>
            <w:r>
              <w:rPr>
                <w:sz w:val="16"/>
              </w:rPr>
              <w:t>0.22</w:t>
            </w:r>
          </w:p>
        </w:tc>
        <w:tc>
          <w:tcPr>
            <w:tcW w:type="dxa" w:w="1176"/>
          </w:tcPr>
          <w:p>
            <w:pPr>
              <w:keepNext/>
            </w:pPr>
            <w:r>
              <w:rPr>
                <w:sz w:val="16"/>
              </w:rPr>
              <w:t>2.1</w:t>
            </w:r>
          </w:p>
        </w:tc>
        <w:tc>
          <w:tcPr>
            <w:tcW w:type="dxa" w:w="1176"/>
          </w:tcPr>
          <w:p>
            <w:pPr>
              <w:keepNext/>
            </w:pPr>
            <w:r>
              <w:rPr>
                <w:sz w:val="16"/>
              </w:rPr>
              <w:t>Complies</w:t>
            </w:r>
          </w:p>
        </w:tc>
      </w:tr>
      <w:tr>
        <w:tc>
          <w:tcPr>
            <w:tcW w:type="dxa" w:w="1176"/>
          </w:tcPr>
          <w:p>
            <w:pPr>
              <w:keepNext/>
            </w:pPr>
            <w:r>
              <w:rPr>
                <w:sz w:val="16"/>
              </w:rPr>
              <w:t>30 °C/65% RH</w:t>
            </w:r>
          </w:p>
        </w:tc>
        <w:tc>
          <w:tcPr>
            <w:tcW w:type="dxa" w:w="1176"/>
          </w:tcPr>
          <w:p>
            <w:pPr>
              <w:keepNext/>
            </w:pPr>
            <w:r>
              <w:rPr>
                <w:sz w:val="16"/>
              </w:rPr>
              <w:t>0</w:t>
            </w:r>
          </w:p>
        </w:tc>
        <w:tc>
          <w:tcPr>
            <w:tcW w:type="dxa" w:w="1176"/>
          </w:tcPr>
          <w:p>
            <w:pPr>
              <w:keepNext/>
            </w:pPr>
            <w:r>
              <w:rPr>
                <w:sz w:val="16"/>
              </w:rPr>
              <w:t>99.2</w:t>
            </w:r>
          </w:p>
        </w:tc>
        <w:tc>
          <w:tcPr>
            <w:tcW w:type="dxa" w:w="1176"/>
          </w:tcPr>
          <w:p>
            <w:pPr>
              <w:keepNext/>
            </w:pPr>
            <w:r>
              <w:rPr>
                <w:sz w:val="16"/>
              </w:rPr>
              <w:t>0.06</w:t>
            </w:r>
          </w:p>
        </w:tc>
        <w:tc>
          <w:tcPr>
            <w:tcW w:type="dxa" w:w="1176"/>
          </w:tcPr>
          <w:p>
            <w:pPr>
              <w:keepNext/>
            </w:pPr>
            <w:r>
              <w:rPr>
                <w:sz w:val="16"/>
              </w:rPr>
              <w:t>&lt;0.05</w:t>
            </w:r>
          </w:p>
        </w:tc>
        <w:tc>
          <w:tcPr>
            <w:tcW w:type="dxa" w:w="1176"/>
          </w:tcPr>
          <w:p>
            <w:pPr>
              <w:keepNext/>
            </w:pPr>
            <w:r>
              <w:rPr>
                <w:sz w:val="16"/>
              </w:rPr>
              <w:t>0.22</w:t>
            </w:r>
          </w:p>
        </w:tc>
        <w:tc>
          <w:tcPr>
            <w:tcW w:type="dxa" w:w="1176"/>
          </w:tcPr>
          <w:p>
            <w:pPr>
              <w:keepNext/>
            </w:pPr>
            <w:r>
              <w:rPr>
                <w:sz w:val="16"/>
              </w:rPr>
              <w:t>2.1</w:t>
            </w:r>
          </w:p>
        </w:tc>
        <w:tc>
          <w:tcPr>
            <w:tcW w:type="dxa" w:w="1176"/>
          </w:tcPr>
          <w:p>
            <w:pPr>
              <w:keepNext/>
            </w:pPr>
            <w:r>
              <w:rPr>
                <w:sz w:val="16"/>
              </w:rPr>
              <w:t>Complies</w:t>
            </w:r>
          </w:p>
        </w:tc>
      </w:tr>
      <w:tr>
        <w:tc>
          <w:tcPr>
            <w:tcW w:type="dxa" w:w="1176"/>
          </w:tcPr>
          <w:p>
            <w:r>
              <w:rPr>
                <w:sz w:val="16"/>
              </w:rPr>
              <w:t>40 °C/75% RH</w:t>
            </w:r>
          </w:p>
        </w:tc>
        <w:tc>
          <w:tcPr>
            <w:tcW w:type="dxa" w:w="1176"/>
          </w:tcPr>
          <w:p>
            <w:r>
              <w:rPr>
                <w:sz w:val="16"/>
              </w:rPr>
              <w:t>0</w:t>
            </w:r>
          </w:p>
        </w:tc>
        <w:tc>
          <w:tcPr>
            <w:tcW w:type="dxa" w:w="1176"/>
          </w:tcPr>
          <w:p>
            <w:r>
              <w:rPr>
                <w:sz w:val="16"/>
              </w:rPr>
              <w:t>99.2</w:t>
            </w:r>
          </w:p>
        </w:tc>
        <w:tc>
          <w:tcPr>
            <w:tcW w:type="dxa" w:w="1176"/>
          </w:tcPr>
          <w:p>
            <w:r>
              <w:rPr>
                <w:sz w:val="16"/>
              </w:rPr>
              <w:t>0.06</w:t>
            </w:r>
          </w:p>
        </w:tc>
        <w:tc>
          <w:tcPr>
            <w:tcW w:type="dxa" w:w="1176"/>
          </w:tcPr>
          <w:p>
            <w:r>
              <w:rPr>
                <w:sz w:val="16"/>
              </w:rPr>
              <w:t>&lt;0.05</w:t>
            </w:r>
          </w:p>
        </w:tc>
        <w:tc>
          <w:tcPr>
            <w:tcW w:type="dxa" w:w="1176"/>
          </w:tcPr>
          <w:p>
            <w:r>
              <w:rPr>
                <w:sz w:val="16"/>
              </w:rPr>
              <w:t>0.22</w:t>
            </w:r>
          </w:p>
        </w:tc>
        <w:tc>
          <w:tcPr>
            <w:tcW w:type="dxa" w:w="1176"/>
          </w:tcPr>
          <w:p>
            <w:r>
              <w:rPr>
                <w:sz w:val="16"/>
              </w:rPr>
              <w:t>2.1</w:t>
            </w:r>
          </w:p>
        </w:tc>
        <w:tc>
          <w:tcPr>
            <w:tcW w:type="dxa" w:w="1176"/>
          </w:tcPr>
          <w:p>
            <w:r>
              <w:rPr>
                <w:sz w:val="16"/>
              </w:rPr>
              <w:t>Complies</w:t>
            </w:r>
          </w:p>
        </w:tc>
      </w:tr>
    </w:tbl>
    <w:p>
      <w:r>
        <w:rPr>
          <w:i/>
          <w:sz w:val="16"/>
        </w:rPr>
        <w:t>Specification: assay 95.0-105.0% LC; Imp A (RRT 0.86, specified) ≤0.50%; Imp B (RRT 1.12, specified) ≤0.30%; any unspecified impurity ≤0.20%; total impurities ≤2.0%</w:t>
      </w:r>
    </w:p>
    <w:p/>
    <w:p>
      <w:r>
        <w:rPr>
          <w:sz w:val="17"/>
        </w:rPr>
        <w:t>At 25 °C/60% RH and 30 °C/65% RH total impurities stay low and change little up to 3 months, with a small rise at 6 months. Imp B RRT 1.12 is below the reporting limit at both conditions until the 6-month pull. Water KF values move between pulls without a trend and are not treated as a stability signal on their own.</w:t>
      </w:r>
    </w:p>
    <w:p>
      <w:pPr>
        <w:pStyle w:val="Heading1"/>
        <w:keepNext/>
      </w:pPr>
      <w:r>
        <w:t>4 Method validation</w:t>
      </w:r>
    </w:p>
    <w:p>
      <w:r>
        <w:t>The HPLC method used for the assay and related substances met all the acceptance criteria in the validation summary in Table 2. [TBC: confirm whether the robustness study is complete before this note is issued as final.]</w:t>
      </w:r>
    </w:p>
    <w:p>
      <w:pPr>
        <w:keepNext/>
      </w:pPr>
      <w:r>
        <w:rPr>
          <w:b/>
          <w:sz w:val="18"/>
        </w:rPr>
        <w:t>Table 2 Method validation summary</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Parameter</w:t>
            </w:r>
          </w:p>
        </w:tc>
        <w:tc>
          <w:tcPr>
            <w:tcW w:type="dxa" w:w="3137"/>
            <w:shd w:val="clear" w:color="auto" w:fill="183C4C"/>
          </w:tcPr>
          <w:p>
            <w:pPr>
              <w:keepNext/>
            </w:pPr>
            <w:r>
              <w:rPr>
                <w:b/>
                <w:color w:val="FFFFFF"/>
                <w:sz w:val="18"/>
              </w:rPr>
              <w:t>Result</w:t>
            </w:r>
          </w:p>
        </w:tc>
        <w:tc>
          <w:tcPr>
            <w:tcW w:type="dxa" w:w="3137"/>
            <w:shd w:val="clear" w:color="auto" w:fill="183C4C"/>
          </w:tcPr>
          <w:p>
            <w:pPr>
              <w:keepNext/>
            </w:pPr>
            <w:r>
              <w:rPr>
                <w:b/>
                <w:color w:val="FFFFFF"/>
                <w:sz w:val="18"/>
              </w:rPr>
              <w:t>Acceptance</w:t>
            </w:r>
          </w:p>
        </w:tc>
      </w:tr>
      <w:tr>
        <w:tc>
          <w:tcPr>
            <w:tcW w:type="dxa" w:w="3137"/>
          </w:tcPr>
          <w:p>
            <w:pPr>
              <w:keepNext/>
            </w:pPr>
            <w:r>
              <w:rPr>
                <w:sz w:val="18"/>
              </w:rPr>
              <w:t>Linearity (r²)</w:t>
            </w:r>
          </w:p>
        </w:tc>
        <w:tc>
          <w:tcPr>
            <w:tcW w:type="dxa" w:w="3137"/>
          </w:tcPr>
          <w:p>
            <w:pPr>
              <w:keepNext/>
            </w:pPr>
            <w:r>
              <w:rPr>
                <w:sz w:val="18"/>
              </w:rPr>
              <w:t>0.9995</w:t>
            </w:r>
          </w:p>
        </w:tc>
        <w:tc>
          <w:tcPr>
            <w:tcW w:type="dxa" w:w="3137"/>
          </w:tcPr>
          <w:p>
            <w:pPr>
              <w:keepNext/>
            </w:pPr>
            <w:r>
              <w:rPr>
                <w:sz w:val="18"/>
              </w:rPr>
              <w:t>≥0.999</w:t>
            </w:r>
          </w:p>
        </w:tc>
      </w:tr>
      <w:tr>
        <w:tc>
          <w:tcPr>
            <w:tcW w:type="dxa" w:w="3137"/>
          </w:tcPr>
          <w:p>
            <w:pPr>
              <w:keepNext/>
            </w:pPr>
            <w:r>
              <w:rPr>
                <w:sz w:val="18"/>
              </w:rPr>
              <w:t>Range (% nominal)</w:t>
            </w:r>
          </w:p>
        </w:tc>
        <w:tc>
          <w:tcPr>
            <w:tcW w:type="dxa" w:w="3137"/>
          </w:tcPr>
          <w:p>
            <w:pPr>
              <w:keepNext/>
            </w:pPr>
            <w:r>
              <w:rPr>
                <w:sz w:val="18"/>
              </w:rPr>
              <w:t>50-150</w:t>
            </w:r>
          </w:p>
        </w:tc>
        <w:tc>
          <w:tcPr>
            <w:tcW w:type="dxa" w:w="3137"/>
          </w:tcPr>
          <w:p>
            <w:pPr>
              <w:keepNext/>
            </w:pPr>
            <w:r>
              <w:rPr>
                <w:sz w:val="18"/>
              </w:rPr>
              <w:t>80-120 minimum</w:t>
            </w:r>
          </w:p>
        </w:tc>
      </w:tr>
      <w:tr>
        <w:tc>
          <w:tcPr>
            <w:tcW w:type="dxa" w:w="3137"/>
          </w:tcPr>
          <w:p>
            <w:r>
              <w:rPr>
                <w:sz w:val="18"/>
              </w:rPr>
              <w:t>Accuracy 80% (% recovery)</w:t>
            </w:r>
          </w:p>
        </w:tc>
        <w:tc>
          <w:tcPr>
            <w:tcW w:type="dxa" w:w="3137"/>
          </w:tcPr>
          <w:p>
            <w:r>
              <w:rPr>
                <w:sz w:val="18"/>
              </w:rPr>
              <w:t>100.0</w:t>
            </w:r>
          </w:p>
        </w:tc>
        <w:tc>
          <w:tcPr>
            <w:tcW w:type="dxa" w:w="3137"/>
          </w:tcPr>
          <w:p>
            <w:r>
              <w:rPr>
                <w:sz w:val="18"/>
              </w:rPr>
              <w:t>98.0-102.0</w:t>
            </w:r>
          </w:p>
        </w:tc>
      </w:tr>
    </w:tbl>
    <w:p>
      <w:r>
        <w:rPr>
          <w:i/>
          <w:sz w:val="16"/>
        </w:rPr>
        <w:t>Work stopped; partial data only</w:t>
      </w:r>
    </w:p>
    <w:p/>
    <w:p>
      <w:pPr>
        <w:pStyle w:val="Heading1"/>
        <w:keepNext/>
      </w:pPr>
      <w:r>
        <w:t>5 Retained samples and status</w:t>
      </w:r>
    </w:p>
    <w:p>
      <w:commentRangeStart w:id="1"/>
      <w:r>
        <w:t>Retained samples for the QP07 lot are held in the chamber file under the protocol storage conditions. The number of units in each chamber is XX pending a physical count at the next scheduled chamber check, and the count will be recorded against the batch card when it is done.</w:t>
      </w:r>
      <w:commentRangeEnd w:id="1"/>
      <w:r>
        <w:rPr>
          <w:rStyle w:val="CommentReference"/>
        </w:rPr>
        <w:commentReference w:id="1"/>
      </w:r>
    </w:p>
    <w:p>
      <w:pPr>
        <w:pStyle w:val="ListBullet"/>
        <w:keepNext/>
        <w:keepLines/>
      </w:pPr>
      <w:r>
        <w:t>No new pulls to be placed until the client confirms the restart instruction in writing</w:t>
      </w:r>
    </w:p>
    <w:p>
      <w:pPr>
        <w:pStyle w:val="ListBullet"/>
        <w:keepNext/>
        <w:keepLines/>
      </w:pPr>
      <w:r>
        <w:t>Retained samples not to be discarded or moved without a written instruction</w:t>
      </w:r>
    </w:p>
    <w:p>
      <w:pPr>
        <w:pStyle w:val="ListBullet"/>
        <w:keepLines/>
      </w:pPr>
      <w:r>
        <w:t>Restart date and any change to the pull schedule: [TBC]</w:t>
      </w:r>
    </w:p>
    <w:p>
      <w:r>
        <w:t>Project status is on hold. Completion date and final outcome are not set and will be recorded at close-out.</w:t>
      </w:r>
    </w:p>
    <w:p>
      <w:pPr>
        <w:pStyle w:val="Heading1"/>
        <w:keepNext/>
      </w:pPr>
      <w:r>
        <w:t>6 Next steps</w:t>
      </w:r>
    </w:p>
    <w:p>
      <w:r>
        <w:t>The project lead will write to the client to request the restart instruction and the revised composition details. Stability and method validation records stay open until the client gives the instruction. Any further pulls will be reported as a separate interim update so that results from the old and new composition are not mixed in one table.</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Leon Wu</w:t>
            </w:r>
          </w:p>
        </w:tc>
        <w:tc>
          <w:tcPr>
            <w:tcW w:type="dxa" w:w="2353"/>
          </w:tcPr>
          <w:p>
            <w:r>
              <w:t>Stability Coordinator</w:t>
            </w:r>
          </w:p>
        </w:tc>
        <w:tc>
          <w:tcPr>
            <w:tcW w:type="dxa" w:w="2353"/>
          </w:tcPr>
          <w:p/>
        </w:tc>
        <w:tc>
          <w:tcPr>
            <w:tcW w:type="dxa" w:w="2353"/>
          </w:tcPr>
          <w:p>
            <w:r>
              <w:t>06/02/2026</w:t>
            </w:r>
          </w:p>
        </w:tc>
      </w:tr>
      <w:tr>
        <w:tc>
          <w:tcPr>
            <w:tcW w:type="dxa" w:w="2353"/>
          </w:tcPr>
          <w:p>
            <w:r>
              <w:t>Alice Penrose</w:t>
            </w:r>
          </w:p>
        </w:tc>
        <w:tc>
          <w:tcPr>
            <w:tcW w:type="dxa" w:w="2353"/>
          </w:tcPr>
          <w:p>
            <w:r>
              <w:t>Head of Analytical Services</w:t>
            </w:r>
          </w:p>
        </w:tc>
        <w:tc>
          <w:tcPr>
            <w:tcW w:type="dxa" w:w="2353"/>
          </w:tcPr>
          <w:p/>
        </w:tc>
        <w:tc>
          <w:tcPr>
            <w:tcW w:type="dxa" w:w="2353"/>
          </w:tcPr>
          <w:p>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lice Penrose" w:initials="AP" w:date="2026-10-08T15:19:15Z">
    <w:p>
      <w:pPr>
        <w:pStyle w:val="CommentText"/>
      </w:pPr>
      <w:r>
        <w:rPr>
          <w:rStyle w:val="CommentReference"/>
        </w:rPr>
        <w:annotationRef/>
      </w:r>
      <w:r>
        <w:t>Can we name the protocol number here? The client will ask which one.</w:t>
      </w:r>
    </w:p>
  </w:comment>
  <w:comment w:id="1" w:author="Saira Mahmood" w:initials="SM" w:date="2026-10-08T15:19:15Z">
    <w:p>
      <w:pPr>
        <w:pStyle w:val="CommentText"/>
      </w:pPr>
      <w:r>
        <w:rPr>
          <w:rStyle w:val="CommentReference"/>
        </w:rPr>
        <w:annotationRef/>
      </w:r>
      <w:r>
        <w:t>Need the count from Denis before this goes to Quorenthel. Leave the XX until then.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Westravelle Analytical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WA-2025-407 | QP07 hold note | Interim</w:t>
    </w:r>
    <w:r>
      <w:pict>
        <v:shape id="PowerPlusWaterMarkObject" o:spid="_x0000_s2049" type="#_x0000_t136" style="position:absolute;margin-left:0;margin-top:0;width:468pt;height:117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WA-2025-407 QP07 Hold Note Rev01</dc:title>
  <dc:subject/>
  <dc:creator>Leon Wu</dc:creator>
  <cp:keywords/>
  <dc:description>generated by python-docx</dc:description>
  <cp:lastModifiedBy>Leon Wu</cp:lastModifiedBy>
  <cp:revision>1</cp:revision>
  <dcterms:created xsi:type="dcterms:W3CDTF">2026-02-06T10:24:00Z</dcterms:created>
  <dcterms:modified xsi:type="dcterms:W3CDTF">2026-02-06T16:38:00Z</dcterms:modified>
  <cp:category/>
</cp:coreProperties>
</file>