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83C4C"/>
          <w:sz w:val="18"/>
        </w:rPr>
        <w:t>Tarnovell Bioscience Group</w:t>
      </w:r>
    </w:p>
    <w:p>
      <w:pPr>
        <w:pStyle w:val="Title"/>
      </w:pPr>
      <w:r>
        <w:t>Tarnovell Brand Guidelines</w:t>
      </w:r>
    </w:p>
    <w:p>
      <w:r>
        <w:rPr>
          <w:i/>
          <w:sz w:val="26"/>
        </w:rPr>
        <w:t>Version 1 for group use</w:t>
      </w:r>
    </w:p>
    <w:p>
      <w:r>
        <w:t>Tarnovell Bioscience Group</w:t>
      </w:r>
    </w:p>
    <w:p>
      <w:r>
        <w:t>Report no. TG-HO-BRD-2020-001</w:t>
      </w:r>
    </w:p>
    <w:p>
      <w:r>
        <w:t>Date: 3 February 2020</w:t>
      </w:r>
    </w:p>
    <w:p>
      <w:pPr>
        <w:pStyle w:val="Heading1"/>
        <w:keepNext/>
      </w:pPr>
      <w:r>
        <w:t>1 Purpose</w:t>
      </w:r>
    </w:p>
    <w:p>
      <w:r>
        <w:t>The group now trades under one name. These guidelines explain how the Tarnovell Bioscience Group identity is applied to group material, how the subsidiary firms present themselves within it, and what happens to documents that were created before the launch.</w:t>
      </w:r>
    </w:p>
    <w:p>
      <w:r>
        <w:rPr>
          <w:i/>
          <w:sz w:val="18"/>
        </w:rPr>
        <w:t>The Tarnovell identity applies from 1 January 2020. Use the common group master for new group material; local template transitions follow the firm-specific migration schedule.</w:t>
      </w:r>
    </w:p>
    <w:p>
      <w:pPr>
        <w:pStyle w:val="Heading1"/>
        <w:keepNext/>
      </w:pPr>
      <w:r>
        <w:t>2 Name and brand line</w:t>
      </w:r>
    </w:p>
    <w:p>
      <w:r>
        <w:t>The group name is written as Tarnovell Bioscience Group in full on first use. The short form Tarnovell is acceptable thereafter. Head-office material uses the brand line Tarnovell Bioscience Group; subsidiary material uses the approved firm-specific line in section 7.</w:t>
      </w:r>
    </w:p>
    <w:p>
      <w:r>
        <w:t>We do not use the word 'Ltd' or 'Inc' in the group brand line. Legal entity names stay in the footer of contracts and invoices, as they are today.</w:t>
      </w:r>
    </w:p>
    <w:p>
      <w:pPr>
        <w:pStyle w:val="Heading1"/>
        <w:keepNext/>
      </w:pPr>
      <w:r>
        <w:t>3 Logo and clear space</w:t>
      </w:r>
    </w:p>
    <w:p>
      <w:r>
        <w:t>The master logo is the wordmark with the thin rule beneath it. It must keep clear space equal to the height of the capital T on all sides. Do not place it on the palette's mid-blue or on any photograph without a solid panel behind it.</w:t>
      </w:r>
    </w:p>
    <w:p>
      <w:pPr>
        <w:pStyle w:val="ListBullet"/>
        <w:keepNext/>
        <w:keepLines/>
      </w:pPr>
      <w:r>
        <w:t>Use the full-colour master on white or the light grey background.</w:t>
      </w:r>
    </w:p>
    <w:p>
      <w:pPr>
        <w:pStyle w:val="ListBullet"/>
        <w:keepNext/>
        <w:keepLines/>
      </w:pPr>
      <w:r>
        <w:t>Use the reversed version on the dark navy panel only.</w:t>
      </w:r>
    </w:p>
    <w:p>
      <w:pPr>
        <w:pStyle w:val="ListBullet2"/>
        <w:keepLines/>
      </w:pPr>
      <w:r>
        <w:t>Do not stretch, outline or add shadow to the wordmark.</w:t>
      </w:r>
    </w:p>
    <w:p>
      <w:pPr>
        <w:pStyle w:val="Heading1"/>
        <w:keepNext/>
      </w:pPr>
      <w:r>
        <w:t>4 Colour palette</w:t>
      </w:r>
    </w:p>
    <w:p>
      <w:r>
        <w:t>The palette has five colours. Charts and tables use the mid-blue and grey tints; the navy is reserved for titles, headers and the logo panel.</w:t>
      </w:r>
    </w:p>
    <w:p>
      <w:pPr>
        <w:keepNext/>
      </w:pPr>
      <w:r>
        <w:rPr>
          <w:b/>
          <w:sz w:val="18"/>
        </w:rPr>
        <w:t>Table 1 Group palette</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183C4C"/>
          </w:tcPr>
          <w:p>
            <w:pPr>
              <w:keepNext/>
            </w:pPr>
            <w:r>
              <w:rPr>
                <w:b/>
                <w:color w:val="FFFFFF"/>
                <w:sz w:val="18"/>
              </w:rPr>
              <w:t>Colour</w:t>
            </w:r>
          </w:p>
        </w:tc>
        <w:tc>
          <w:tcPr>
            <w:tcW w:type="dxa" w:w="3137"/>
            <w:shd w:val="clear" w:color="auto" w:fill="183C4C"/>
          </w:tcPr>
          <w:p>
            <w:pPr>
              <w:keepNext/>
            </w:pPr>
            <w:r>
              <w:rPr>
                <w:b/>
                <w:color w:val="FFFFFF"/>
                <w:sz w:val="18"/>
              </w:rPr>
              <w:t>Hex</w:t>
            </w:r>
          </w:p>
        </w:tc>
        <w:tc>
          <w:tcPr>
            <w:tcW w:type="dxa" w:w="3137"/>
            <w:shd w:val="clear" w:color="auto" w:fill="183C4C"/>
          </w:tcPr>
          <w:p>
            <w:pPr>
              <w:keepNext/>
            </w:pPr>
            <w:r>
              <w:rPr>
                <w:b/>
                <w:color w:val="FFFFFF"/>
                <w:sz w:val="18"/>
              </w:rPr>
              <w:t>Use</w:t>
            </w:r>
          </w:p>
        </w:tc>
      </w:tr>
      <w:tr>
        <w:tc>
          <w:tcPr>
            <w:tcW w:type="dxa" w:w="3137"/>
          </w:tcPr>
          <w:p>
            <w:pPr>
              <w:keepNext/>
            </w:pPr>
            <w:r>
              <w:rPr>
                <w:sz w:val="18"/>
              </w:rPr>
              <w:t>Tarnovell navy</w:t>
            </w:r>
          </w:p>
        </w:tc>
        <w:tc>
          <w:tcPr>
            <w:tcW w:type="dxa" w:w="3137"/>
          </w:tcPr>
          <w:p>
            <w:pPr>
              <w:keepNext/>
            </w:pPr>
            <w:r>
              <w:rPr>
                <w:sz w:val="18"/>
              </w:rPr>
              <w:t>#1B2A41</w:t>
            </w:r>
          </w:p>
        </w:tc>
        <w:tc>
          <w:tcPr>
            <w:tcW w:type="dxa" w:w="3137"/>
          </w:tcPr>
          <w:p>
            <w:pPr>
              <w:keepNext/>
            </w:pPr>
            <w:r>
              <w:rPr>
                <w:sz w:val="18"/>
              </w:rPr>
              <w:t>Titles, headers, logo panel</w:t>
            </w:r>
          </w:p>
        </w:tc>
      </w:tr>
      <w:tr>
        <w:tc>
          <w:tcPr>
            <w:tcW w:type="dxa" w:w="3137"/>
          </w:tcPr>
          <w:p>
            <w:pPr>
              <w:keepNext/>
            </w:pPr>
            <w:r>
              <w:rPr>
                <w:sz w:val="18"/>
              </w:rPr>
              <w:t>Tarnovell blue</w:t>
            </w:r>
          </w:p>
        </w:tc>
        <w:tc>
          <w:tcPr>
            <w:tcW w:type="dxa" w:w="3137"/>
          </w:tcPr>
          <w:p>
            <w:pPr>
              <w:keepNext/>
            </w:pPr>
            <w:r>
              <w:rPr>
                <w:sz w:val="18"/>
              </w:rPr>
              <w:t>#2F6690</w:t>
            </w:r>
          </w:p>
        </w:tc>
        <w:tc>
          <w:tcPr>
            <w:tcW w:type="dxa" w:w="3137"/>
          </w:tcPr>
          <w:p>
            <w:pPr>
              <w:keepNext/>
            </w:pPr>
            <w:r>
              <w:rPr>
                <w:sz w:val="18"/>
              </w:rPr>
              <w:t>Primary accent, chart series 1</w:t>
            </w:r>
          </w:p>
        </w:tc>
      </w:tr>
      <w:tr>
        <w:tc>
          <w:tcPr>
            <w:tcW w:type="dxa" w:w="3137"/>
          </w:tcPr>
          <w:p>
            <w:pPr>
              <w:keepNext/>
            </w:pPr>
            <w:r>
              <w:rPr>
                <w:sz w:val="18"/>
              </w:rPr>
              <w:t>Tarnovell teal</w:t>
            </w:r>
          </w:p>
        </w:tc>
        <w:tc>
          <w:tcPr>
            <w:tcW w:type="dxa" w:w="3137"/>
          </w:tcPr>
          <w:p>
            <w:pPr>
              <w:keepNext/>
            </w:pPr>
            <w:r>
              <w:rPr>
                <w:sz w:val="18"/>
              </w:rPr>
              <w:t>#3A9D8F</w:t>
            </w:r>
          </w:p>
        </w:tc>
        <w:tc>
          <w:tcPr>
            <w:tcW w:type="dxa" w:w="3137"/>
          </w:tcPr>
          <w:p>
            <w:pPr>
              <w:keepNext/>
            </w:pPr>
            <w:r>
              <w:rPr>
                <w:sz w:val="18"/>
              </w:rPr>
              <w:t>Chart series 2, positive highlights</w:t>
            </w:r>
          </w:p>
        </w:tc>
      </w:tr>
      <w:tr>
        <w:tc>
          <w:tcPr>
            <w:tcW w:type="dxa" w:w="3137"/>
          </w:tcPr>
          <w:p>
            <w:pPr>
              <w:keepNext/>
            </w:pPr>
            <w:r>
              <w:rPr>
                <w:sz w:val="18"/>
              </w:rPr>
              <w:t>Warm grey</w:t>
            </w:r>
          </w:p>
        </w:tc>
        <w:tc>
          <w:tcPr>
            <w:tcW w:type="dxa" w:w="3137"/>
          </w:tcPr>
          <w:p>
            <w:pPr>
              <w:keepNext/>
            </w:pPr>
            <w:r>
              <w:rPr>
                <w:sz w:val="18"/>
              </w:rPr>
              <w:t>#8C8C8C</w:t>
            </w:r>
          </w:p>
        </w:tc>
        <w:tc>
          <w:tcPr>
            <w:tcW w:type="dxa" w:w="3137"/>
          </w:tcPr>
          <w:p>
            <w:pPr>
              <w:keepNext/>
            </w:pPr>
            <w:r>
              <w:rPr>
                <w:sz w:val="18"/>
              </w:rPr>
              <w:t>Secondary text, chart series 3</w:t>
            </w:r>
          </w:p>
        </w:tc>
      </w:tr>
      <w:tr>
        <w:tc>
          <w:tcPr>
            <w:tcW w:type="dxa" w:w="3137"/>
          </w:tcPr>
          <w:p>
            <w:r>
              <w:rPr>
                <w:sz w:val="18"/>
              </w:rPr>
              <w:t>Light grey</w:t>
            </w:r>
          </w:p>
        </w:tc>
        <w:tc>
          <w:tcPr>
            <w:tcW w:type="dxa" w:w="3137"/>
          </w:tcPr>
          <w:p>
            <w:r>
              <w:rPr>
                <w:sz w:val="18"/>
              </w:rPr>
              <w:t>#EEF1F4</w:t>
            </w:r>
          </w:p>
        </w:tc>
        <w:tc>
          <w:tcPr>
            <w:tcW w:type="dxa" w:w="3137"/>
          </w:tcPr>
          <w:p>
            <w:r>
              <w:rPr>
                <w:sz w:val="18"/>
              </w:rPr>
              <w:t>Table banding and page panels</w:t>
            </w:r>
          </w:p>
        </w:tc>
      </w:tr>
    </w:tbl>
    <w:p/>
    <w:p>
      <w:r>
        <w:rPr>
          <w:sz w:val="17"/>
        </w:rPr>
        <w:t>Do not introduce colours from the legacy firm palettes into group material. Firms may keep their own palettes on their own internal documents until those templates are retired.</w:t>
      </w:r>
    </w:p>
    <w:p>
      <w:pPr>
        <w:pStyle w:val="Heading1"/>
        <w:keepNext/>
      </w:pPr>
      <w:r>
        <w:t>5 Typography</w:t>
      </w:r>
    </w:p>
    <w:p>
      <w:r>
        <w:t>Arial is the group typeface for all documents, presentations and spreadsheets. Headings are Arial Bold, body text is Arial Regular at 10 point for documents and 11 point for letters.</w:t>
      </w:r>
    </w:p>
    <w:p>
      <w:r>
        <w:t>Scientific notation, units and compound codes are set in the same font. Subscripts and superscripts use the font's own glyphs, not a substitute face.</w:t>
      </w:r>
    </w:p>
    <w:p>
      <w:pPr>
        <w:pStyle w:val="Heading1"/>
        <w:keepNext/>
      </w:pPr>
      <w:r>
        <w:t>6 Documents and templates</w:t>
      </w:r>
    </w:p>
    <w:p>
      <w:r>
        <w:t>Every group document uses the HO template for the current year. The template carries the confidentiality footer, the page number and the document reference in the header. Nothing else should be added to the footer by the author.</w:t>
      </w:r>
    </w:p>
    <w:p>
      <w:pPr>
        <w:pStyle w:val="ListBullet"/>
        <w:keepNext/>
        <w:keepLines/>
      </w:pPr>
      <w:r>
        <w:t>Reports: title block, report number, date, and a version line.</w:t>
      </w:r>
    </w:p>
    <w:p>
      <w:pPr>
        <w:pStyle w:val="ListBullet"/>
        <w:keepNext/>
        <w:keepLines/>
      </w:pPr>
      <w:r>
        <w:t>Letters: group letterhead with the registered office address.</w:t>
      </w:r>
    </w:p>
    <w:p>
      <w:pPr>
        <w:pStyle w:val="ListBullet2"/>
        <w:keepNext/>
        <w:keepLines/>
      </w:pPr>
      <w:r>
        <w:t>Slides: navy title bar, Arial, no more than two accent colours per slide.</w:t>
      </w:r>
    </w:p>
    <w:p>
      <w:pPr>
        <w:pStyle w:val="ListBullet"/>
        <w:keepLines/>
      </w:pPr>
      <w:r>
        <w:t>Spreadsheets: the group header row and the confidentiality line at the top.</w:t>
      </w:r>
    </w:p>
    <w:p>
      <w:pPr>
        <w:pStyle w:val="Heading1"/>
        <w:keepNext/>
      </w:pPr>
      <w:r>
        <w:t>7 Subsidiary brand lines</w:t>
      </w:r>
    </w:p>
    <w:p>
      <w:r>
        <w:t>Each subsidiary retains its legal name and uses the approved line below on new covers, title slides and workbook summary sheets from the start of its group identity. Local project and accession numbers remain unchanged.</w:t>
      </w:r>
    </w:p>
    <w:p>
      <w:pPr>
        <w:keepNext/>
      </w:pPr>
      <w:r>
        <w:rPr>
          <w:b/>
          <w:sz w:val="18"/>
        </w:rPr>
        <w:t>Table 2 Approved subsidiary lines</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183C4C"/>
          </w:tcPr>
          <w:p>
            <w:pPr>
              <w:keepNext/>
            </w:pPr>
            <w:r>
              <w:rPr>
                <w:b/>
                <w:color w:val="FFFFFF"/>
                <w:sz w:val="18"/>
              </w:rPr>
              <w:t>Firm</w:t>
            </w:r>
          </w:p>
        </w:tc>
        <w:tc>
          <w:tcPr>
            <w:tcW w:type="dxa" w:w="3137"/>
            <w:shd w:val="clear" w:color="auto" w:fill="183C4C"/>
          </w:tcPr>
          <w:p>
            <w:pPr>
              <w:keepNext/>
            </w:pPr>
            <w:r>
              <w:rPr>
                <w:b/>
                <w:color w:val="FFFFFF"/>
                <w:sz w:val="18"/>
              </w:rPr>
              <w:t>Legal name</w:t>
            </w:r>
          </w:p>
        </w:tc>
        <w:tc>
          <w:tcPr>
            <w:tcW w:type="dxa" w:w="3137"/>
            <w:shd w:val="clear" w:color="auto" w:fill="183C4C"/>
          </w:tcPr>
          <w:p>
            <w:pPr>
              <w:keepNext/>
            </w:pPr>
            <w:r>
              <w:rPr>
                <w:b/>
                <w:color w:val="FFFFFF"/>
                <w:sz w:val="18"/>
              </w:rPr>
              <w:t>Approved brand line</w:t>
            </w:r>
          </w:p>
        </w:tc>
      </w:tr>
      <w:tr>
        <w:tc>
          <w:tcPr>
            <w:tcW w:type="dxa" w:w="3137"/>
          </w:tcPr>
          <w:p>
            <w:pPr>
              <w:keepNext/>
            </w:pPr>
            <w:r>
              <w:rPr>
                <w:sz w:val="18"/>
              </w:rPr>
              <w:t>A</w:t>
            </w:r>
          </w:p>
        </w:tc>
        <w:tc>
          <w:tcPr>
            <w:tcW w:type="dxa" w:w="3137"/>
          </w:tcPr>
          <w:p>
            <w:pPr>
              <w:keepNext/>
            </w:pPr>
            <w:r>
              <w:rPr>
                <w:sz w:val="18"/>
              </w:rPr>
              <w:t>Vellacombe Discovery Ltd</w:t>
            </w:r>
          </w:p>
        </w:tc>
        <w:tc>
          <w:tcPr>
            <w:tcW w:type="dxa" w:w="3137"/>
          </w:tcPr>
          <w:p>
            <w:pPr>
              <w:keepNext/>
            </w:pPr>
            <w:r>
              <w:rPr>
                <w:sz w:val="18"/>
              </w:rPr>
              <w:t>Vellacombe Discovery Ltd, a Tarnovell company</w:t>
            </w:r>
          </w:p>
        </w:tc>
      </w:tr>
      <w:tr>
        <w:tc>
          <w:tcPr>
            <w:tcW w:type="dxa" w:w="3137"/>
          </w:tcPr>
          <w:p>
            <w:pPr>
              <w:keepNext/>
            </w:pPr>
            <w:r>
              <w:rPr>
                <w:sz w:val="18"/>
              </w:rPr>
              <w:t>B</w:t>
            </w:r>
          </w:p>
        </w:tc>
        <w:tc>
          <w:tcPr>
            <w:tcW w:type="dxa" w:w="3137"/>
          </w:tcPr>
          <w:p>
            <w:pPr>
              <w:keepNext/>
            </w:pPr>
            <w:r>
              <w:rPr>
                <w:sz w:val="18"/>
              </w:rPr>
              <w:t>Brindlewythe Biosciences Ltd</w:t>
            </w:r>
          </w:p>
        </w:tc>
        <w:tc>
          <w:tcPr>
            <w:tcW w:type="dxa" w:w="3137"/>
          </w:tcPr>
          <w:p>
            <w:pPr>
              <w:keepNext/>
            </w:pPr>
            <w:r>
              <w:rPr>
                <w:sz w:val="18"/>
              </w:rPr>
              <w:t>Brindlewythe Biosciences Ltd, a Tarnovell company</w:t>
            </w:r>
          </w:p>
        </w:tc>
      </w:tr>
      <w:tr>
        <w:tc>
          <w:tcPr>
            <w:tcW w:type="dxa" w:w="3137"/>
          </w:tcPr>
          <w:p>
            <w:pPr>
              <w:keepNext/>
            </w:pPr>
            <w:r>
              <w:rPr>
                <w:sz w:val="18"/>
              </w:rPr>
              <w:t>C</w:t>
            </w:r>
          </w:p>
        </w:tc>
        <w:tc>
          <w:tcPr>
            <w:tcW w:type="dxa" w:w="3137"/>
          </w:tcPr>
          <w:p>
            <w:pPr>
              <w:keepNext/>
            </w:pPr>
            <w:r>
              <w:rPr>
                <w:sz w:val="18"/>
              </w:rPr>
              <w:t>Merrivoss Bioanalysis Inc</w:t>
            </w:r>
          </w:p>
        </w:tc>
        <w:tc>
          <w:tcPr>
            <w:tcW w:type="dxa" w:w="3137"/>
          </w:tcPr>
          <w:p>
            <w:pPr>
              <w:keepNext/>
            </w:pPr>
            <w:r>
              <w:rPr>
                <w:sz w:val="18"/>
              </w:rPr>
              <w:t>Merrivoss Bioanalysis Inc, a Tarnovell company</w:t>
            </w:r>
          </w:p>
        </w:tc>
      </w:tr>
      <w:tr>
        <w:tc>
          <w:tcPr>
            <w:tcW w:type="dxa" w:w="3137"/>
          </w:tcPr>
          <w:p>
            <w:pPr>
              <w:keepNext/>
            </w:pPr>
            <w:r>
              <w:rPr>
                <w:sz w:val="18"/>
              </w:rPr>
              <w:t>D</w:t>
            </w:r>
          </w:p>
        </w:tc>
        <w:tc>
          <w:tcPr>
            <w:tcW w:type="dxa" w:w="3137"/>
          </w:tcPr>
          <w:p>
            <w:pPr>
              <w:keepNext/>
            </w:pPr>
            <w:r>
              <w:rPr>
                <w:sz w:val="18"/>
              </w:rPr>
              <w:t>Quenverell Computational Ltd</w:t>
            </w:r>
          </w:p>
        </w:tc>
        <w:tc>
          <w:tcPr>
            <w:tcW w:type="dxa" w:w="3137"/>
          </w:tcPr>
          <w:p>
            <w:pPr>
              <w:keepNext/>
            </w:pPr>
            <w:r>
              <w:rPr>
                <w:sz w:val="18"/>
              </w:rPr>
              <w:t>Quenverell Computational Ltd, a Tarnovell company</w:t>
            </w:r>
          </w:p>
        </w:tc>
      </w:tr>
      <w:tr>
        <w:tc>
          <w:tcPr>
            <w:tcW w:type="dxa" w:w="3137"/>
          </w:tcPr>
          <w:p>
            <w:r>
              <w:rPr>
                <w:sz w:val="18"/>
              </w:rPr>
              <w:t>E</w:t>
            </w:r>
          </w:p>
        </w:tc>
        <w:tc>
          <w:tcPr>
            <w:tcW w:type="dxa" w:w="3137"/>
          </w:tcPr>
          <w:p>
            <w:r>
              <w:rPr>
                <w:sz w:val="18"/>
              </w:rPr>
              <w:t>Westravelle Analytical Ltd</w:t>
            </w:r>
          </w:p>
        </w:tc>
        <w:tc>
          <w:tcPr>
            <w:tcW w:type="dxa" w:w="3137"/>
          </w:tcPr>
          <w:p>
            <w:r>
              <w:rPr>
                <w:sz w:val="18"/>
              </w:rPr>
              <w:t>Westravelle Analytical Ltd, a Tarnovell company</w:t>
            </w:r>
          </w:p>
        </w:tc>
      </w:tr>
    </w:tbl>
    <w:p/>
    <w:p>
      <w:r>
        <w:rPr>
          <w:i/>
          <w:sz w:val="18"/>
        </w:rPr>
        <w:t>Scientific leadership stays with each firm. The performing laboratory remains identified on scientific reports, with review and signature responsibilities determined by its local quality system.</w:t>
      </w:r>
    </w:p>
    <w:p>
      <w:pPr>
        <w:pStyle w:val="Heading1"/>
        <w:keepNext/>
      </w:pPr>
      <w:r>
        <w:t>8 Legacy records</w:t>
      </w:r>
    </w:p>
    <w:p>
      <w:r>
        <w:t>Historical records keep their original appearance. They are not restyled, re-headed or re-footed when copied or moved. A new document derived from an archived record must remain distinguishable from the preserved original.</w:t>
      </w:r>
    </w:p>
    <w:p>
      <w:r>
        <w:rPr>
          <w:b/>
        </w:rPr>
        <w:t>Reports issued before the relevant firm’s group identity began keep their original logo, colours and footer. Do not alter archived records to match these guidelines.</w:t>
      </w:r>
    </w:p>
    <w:p>
      <w:r>
        <w:t>Archive folders are not renamed. Old firm names remain in file paths and document properties.</w:t>
      </w:r>
    </w:p>
    <w:p>
      <w:pPr>
        <w:pStyle w:val="Heading1"/>
        <w:keepNext/>
      </w:pPr>
      <w:r>
        <w:t>9 Approval and contacts</w:t>
      </w:r>
    </w:p>
    <w:p>
      <w:r>
        <w:t>Questions about the guidelines go to the Integration PMO. Requests for exceptions need the approval of the Group Chief Executive and are logged with the reason and the document reference.</w:t>
      </w:r>
    </w:p>
    <w:p>
      <w:r>
        <w:t>These guidelines will be reviewed after the first full year of use, or earlier if the group acquires a firm that brings a brand of its own.</w:t>
      </w:r>
    </w:p>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t>Name</w:t>
            </w:r>
          </w:p>
        </w:tc>
        <w:tc>
          <w:tcPr>
            <w:tcW w:type="dxa" w:w="2353"/>
          </w:tcPr>
          <w:p>
            <w:r>
              <w:t>Role</w:t>
            </w:r>
          </w:p>
        </w:tc>
        <w:tc>
          <w:tcPr>
            <w:tcW w:type="dxa" w:w="2353"/>
          </w:tcPr>
          <w:p>
            <w:r>
              <w:t>Signature</w:t>
            </w:r>
          </w:p>
        </w:tc>
        <w:tc>
          <w:tcPr>
            <w:tcW w:type="dxa" w:w="2353"/>
          </w:tcPr>
          <w:p>
            <w:r>
              <w:t>Date</w:t>
            </w:r>
          </w:p>
        </w:tc>
      </w:tr>
      <w:tr>
        <w:tc>
          <w:tcPr>
            <w:tcW w:type="dxa" w:w="2353"/>
          </w:tcPr>
          <w:p>
            <w:r>
              <w:t>Daniel Grellacott</w:t>
            </w:r>
          </w:p>
        </w:tc>
        <w:tc>
          <w:tcPr>
            <w:tcW w:type="dxa" w:w="2353"/>
          </w:tcPr>
          <w:p>
            <w:r>
              <w:t>Group Chief Executive</w:t>
            </w:r>
          </w:p>
        </w:tc>
        <w:tc>
          <w:tcPr>
            <w:tcW w:type="dxa" w:w="2353"/>
          </w:tcPr>
          <w:p>
            <w:r>
              <w:drawing>
                <wp:inline xmlns:a="http://schemas.openxmlformats.org/drawingml/2006/main" xmlns:pic="http://schemas.openxmlformats.org/drawingml/2006/picture">
                  <wp:extent cx="1335789" cy="3240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35789" cy="324000"/>
                          </a:xfrm>
                          <a:prstGeom prst="rect"/>
                        </pic:spPr>
                      </pic:pic>
                    </a:graphicData>
                  </a:graphic>
                </wp:inline>
              </w:drawing>
            </w:r>
          </w:p>
        </w:tc>
        <w:tc>
          <w:tcPr>
            <w:tcW w:type="dxa" w:w="2353"/>
          </w:tcPr>
          <w:p>
            <w:r>
              <w:t>3 February 2020</w:t>
            </w:r>
          </w:p>
        </w:tc>
      </w:tr>
    </w:tbl>
    <w:p>
      <w:r>
        <w:br w:type="page"/>
      </w:r>
    </w:p>
    <w:p>
      <w:pPr>
        <w:pStyle w:val="Heading1"/>
      </w:pPr>
      <w:r>
        <w:t>Appendix A Template checklist</w:t>
      </w:r>
    </w:p>
    <w:p>
      <w:pPr>
        <w:pStyle w:val="ListNumber"/>
        <w:keepNext/>
        <w:keepLines/>
      </w:pPr>
      <w:r>
        <w:t>Group name and brand line on the cover or first page.</w:t>
      </w:r>
    </w:p>
    <w:p>
      <w:pPr>
        <w:pStyle w:val="ListNumber"/>
        <w:keepNext/>
        <w:keepLines/>
      </w:pPr>
      <w:r>
        <w:t>Confidentiality footer on every page.</w:t>
      </w:r>
    </w:p>
    <w:p>
      <w:pPr>
        <w:pStyle w:val="ListNumber"/>
        <w:keepNext/>
        <w:keepLines/>
      </w:pPr>
      <w:r>
        <w:t>Arial throughout; no legacy firm fonts.</w:t>
      </w:r>
    </w:p>
    <w:p>
      <w:pPr>
        <w:pStyle w:val="ListNumber"/>
        <w:keepNext/>
        <w:keepLines/>
      </w:pPr>
      <w:r>
        <w:t>Palette limited to the five group colours.</w:t>
      </w:r>
    </w:p>
    <w:p>
      <w:pPr>
        <w:pStyle w:val="ListNumber"/>
        <w:keepLines/>
      </w:pPr>
      <w:r>
        <w:t>Legacy records left unchanged.</w:t>
      </w:r>
    </w:p>
    <w:sectPr w:rsidR="00FC693F" w:rsidRPr="0006063C" w:rsidSect="00034616">
      <w:headerReference w:type="default" r:id="rId9"/>
      <w:footerReference w:type="default" r:id="rId10"/>
      <w:pgSz w:w="11906" w:h="16838"/>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46464"/>
        <w:sz w:val="16"/>
      </w:rPr>
      <w:t>Tarnovell Bioscience Group | Confidential</w:t>
    </w:r>
    <w:r>
      <w:t xml:space="preserve">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6464"/>
        <w:sz w:val="16"/>
      </w:rPr>
      <w:t>Tarnovell brand guidelines v1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83C4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83C4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83C4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83C4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LinksUpToDate>false</LinksUpToDate>
  <CharactersWithSpaces>0</CharactersWithSpaces>
  <SharedDoc>false</SharedDoc>
  <HyperlinkBase/>
  <HyperlinksChanged>false</HyperlinksChanged>
  <Company>Tarnovell Bioscience Group Ltd</Company>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Tarnovell brand guidelines v1</dc:title>
  <dc:subject/>
  <dc:creator>Daniel Grellacott</dc:creator>
  <cp:keywords/>
  <dc:description>generated by python-docx</dc:description>
  <cp:lastModifiedBy>Daniel Grellacott</cp:lastModifiedBy>
  <cp:revision>13</cp:revision>
  <dcterms:created xsi:type="dcterms:W3CDTF">2020-01-13T10:24:00Z</dcterms:created>
  <dcterms:modified xsi:type="dcterms:W3CDTF">2020-02-03T15:37:00Z</dcterms:modified>
  <cp:category/>
</cp:coreProperties>
</file>