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84F78"/>
          <w:sz w:val="18"/>
        </w:rPr>
        <w:t>Merrivoss Bioanalysis Inc</w:t>
      </w:r>
    </w:p>
    <w:p>
      <w:pPr>
        <w:pStyle w:val="Title"/>
      </w:pPr>
      <w:r>
        <w:t>Proposal and Quotation</w:t>
      </w:r>
    </w:p>
    <w:p>
      <w:r>
        <w:rPr>
          <w:i/>
          <w:sz w:val="26"/>
        </w:rPr>
        <w:t>ST03 growth-signal program: rapid hERG/DDI screen of 38 compounds</w:t>
      </w:r>
    </w:p>
    <w:p>
      <w:r>
        <w:t>Proposal reference: MV-2015-266</w:t>
      </w:r>
    </w:p>
    <w:p>
      <w:r>
        <w:t>Prepared for: Selverant</w:t>
      </w:r>
    </w:p>
    <w:p>
      <w:r>
        <w:t>Date: November 5, 2015</w:t>
      </w:r>
    </w:p>
    <w:p>
      <w:pPr>
        <w:pStyle w:val="Heading1"/>
        <w:keepNext/>
      </w:pPr>
      <w:r>
        <w:t>1 Introduction</w:t>
      </w:r>
    </w:p>
    <w:p>
      <w:r>
        <w:t>Merrivoss Bioanalysis is pleased to provide this proposal for the work described below. Matrix, species and analytical limits for each assay are given in Section 3. This proposal responds to the request from Selverant for work on 38 compounds from the Selverant aminoquinazoline test article set.</w:t>
      </w:r>
    </w:p>
    <w:p>
      <w:r>
        <w:t>Reference: MV-2015-266. Prepared by Dr M. Rinalvesi, DMPK Lead.</w:t>
      </w:r>
    </w:p>
    <w:p>
      <w:pPr>
        <w:pStyle w:val="Heading1"/>
        <w:keepNext/>
      </w:pPr>
      <w:r>
        <w:t>2 Scope of work</w:t>
      </w:r>
    </w:p>
    <w:p>
      <w:r>
        <w:t>38 compounds, to be supplied by Selverant as 10 mM DMSO solutions (minimum 40 µL each) in a single accession lot.</w:t>
      </w:r>
    </w:p>
    <w:p>
      <w:pPr>
        <w:pStyle w:val="ListBullet"/>
        <w:keepNext/>
        <w:keepLines/>
      </w:pPr>
      <w:r>
        <w:t>IKr inhibition: 6-point concentration response (top 30 µM), n≥2 cells per compound, E-4031 control</w:t>
      </w:r>
    </w:p>
    <w:p>
      <w:pPr>
        <w:pStyle w:val="ListBullet"/>
        <w:keepLines/>
      </w:pPr>
      <w:r>
        <w:t>Five-isoform DDI screen: CYP1A2, 2C9, 2C19, 2D6 and 3A4 at 10 µM in duplicate, probe substrates by LC-MS/MS</w:t>
      </w:r>
    </w:p>
    <w:p>
      <w:pPr>
        <w:pStyle w:val="Heading1"/>
        <w:keepNext/>
      </w:pPr>
      <w:r>
        <w:t>3 Study design</w:t>
      </w:r>
    </w:p>
    <w:p>
      <w:r>
        <w:t>The work will follow our standard procedures, summarized below. Any deviation will be agreed with the client before testing.</w:t>
      </w:r>
    </w:p>
    <w:p>
      <w:pPr>
        <w:pStyle w:val="Heading2"/>
        <w:keepNext/>
      </w:pPr>
      <w:r>
        <w:t>IKr inhibition</w:t>
      </w:r>
    </w:p>
    <w:p>
      <w:r>
        <w:t>CHO cells stably expressing hERG (KCNH2) will be recorded in whole-cell configuration on a 16-channel automated patch clamp platform at room temperature. Cells are held at -80 mV, depolarized to +40 mV for 2 s and repolarized to -50 mV for 2 s to elicit the tail current, at 0.1 Hz. Each compound will be applied cumulatively at 0.12, 0.37, 1.1, 3.3, 10 and 30 µM (0.3% DMSO final). Each concentration is held until the tail-current block reaches a steady state (change below 5% over the last three sweeps), with a minimum of 3 and a maximum of 8 minutes; compounds still drifting at 8 minutes are flagged as slow-onset.</w:t>
      </w:r>
    </w:p>
    <w:p>
      <w:r>
        <w:t>E-4031 is run as a separate 6-point concentration response (1-300 nM) on every run.</w:t>
      </w:r>
    </w:p>
    <w:p>
      <w:pPr>
        <w:pStyle w:val="ListBullet"/>
        <w:keepNext/>
        <w:keepLines/>
      </w:pPr>
      <w:r>
        <w:t>Matrix acceptance: seal resistance ≥500 MΩ before break-in and ≥200 MΩ throughout</w:t>
      </w:r>
    </w:p>
    <w:p>
      <w:pPr>
        <w:pStyle w:val="ListBullet"/>
        <w:keepNext/>
        <w:keepLines/>
      </w:pPr>
      <w:r>
        <w:t>Tail current ≥200 pA at baseline; run-down ≤10% over the vehicle period</w:t>
      </w:r>
    </w:p>
    <w:p>
      <w:pPr>
        <w:pStyle w:val="ListBullet"/>
        <w:keepNext/>
        <w:keepLines/>
      </w:pPr>
      <w:r>
        <w:t>E-4031 IC50 within 5-50 nM; runs outside this range are rejected and repeated</w:t>
      </w:r>
    </w:p>
    <w:p>
      <w:pPr>
        <w:pStyle w:val="ListBullet"/>
        <w:keepNext/>
        <w:keepLines/>
      </w:pPr>
      <w:r>
        <w:t>IC50 fitted per cell (four-parameter logistic); the compound IC50 is the geometric mean of finite cell IC50s when these are the majority of accepted cells, otherwise reported as &gt;30 µM</w:t>
      </w:r>
    </w:p>
    <w:p>
      <w:pPr>
        <w:pStyle w:val="ListBullet"/>
        <w:keepLines/>
      </w:pPr>
      <w:r>
        <w:t>Where precipitation is seen at 30 µM, that concentration is excluded and the highest evaluable concentration is reported</w:t>
      </w:r>
    </w:p>
    <w:p>
      <w:pPr>
        <w:pStyle w:val="Heading2"/>
        <w:keepNext/>
      </w:pPr>
      <w:r>
        <w:t>Five-isoform DDI screen</w:t>
      </w:r>
    </w:p>
    <w:p>
      <w:r>
        <w:t>Pooled human liver microsomes (0.1 mg/mL protein) will be incubated with each compound at 10 µM and an isoform-selective probe substrate at approximately Km, in duplicate, for 10 minutes at 37 °C after NADPH addition. Metabolite formation is measured by LC-MS/MS against vehicle (0.1% DMSO) incubations; the lower limit of quantitation of each metabolite is at least 20-fold below the vehicle signal.</w:t>
      </w:r>
    </w:p>
    <w:p>
      <w:pPr>
        <w:keepNext/>
      </w:pPr>
      <w:r>
        <w:rPr>
          <w:b/>
          <w:sz w:val="18"/>
        </w:rPr>
        <w:t>Probe substrates and controls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84F78"/>
          </w:tcPr>
          <w:p>
            <w:pPr>
              <w:keepNext/>
            </w:pPr>
            <w:r>
              <w:rPr>
                <w:b/>
                <w:color w:val="FFFFFF"/>
                <w:sz w:val="18"/>
              </w:rPr>
              <w:t>Isoform</w:t>
            </w:r>
          </w:p>
        </w:tc>
        <w:tc>
          <w:tcPr>
            <w:tcW w:type="dxa" w:w="2436"/>
            <w:shd w:val="clear" w:color="auto" w:fill="284F78"/>
          </w:tcPr>
          <w:p>
            <w:pPr>
              <w:keepNext/>
            </w:pPr>
            <w:r>
              <w:rPr>
                <w:b/>
                <w:color w:val="FFFFFF"/>
                <w:sz w:val="18"/>
              </w:rPr>
              <w:t>Probe substrate</w:t>
            </w:r>
          </w:p>
        </w:tc>
        <w:tc>
          <w:tcPr>
            <w:tcW w:type="dxa" w:w="2436"/>
            <w:shd w:val="clear" w:color="auto" w:fill="284F78"/>
          </w:tcPr>
          <w:p>
            <w:pPr>
              <w:keepNext/>
            </w:pPr>
            <w:r>
              <w:rPr>
                <w:b/>
                <w:color w:val="FFFFFF"/>
                <w:sz w:val="18"/>
              </w:rPr>
              <w:t>Metabolite</w:t>
            </w:r>
          </w:p>
        </w:tc>
        <w:tc>
          <w:tcPr>
            <w:tcW w:type="dxa" w:w="2436"/>
            <w:shd w:val="clear" w:color="auto" w:fill="284F78"/>
          </w:tcPr>
          <w:p>
            <w:pPr>
              <w:keepNext/>
            </w:pPr>
            <w:r>
              <w:rPr>
                <w:b/>
                <w:color w:val="FFFFFF"/>
                <w:sz w:val="18"/>
              </w:rPr>
              <w:t>Positive control</w:t>
            </w:r>
          </w:p>
        </w:tc>
      </w:tr>
      <w:tr>
        <w:tc>
          <w:tcPr>
            <w:tcW w:type="dxa" w:w="2436"/>
          </w:tcPr>
          <w:p>
            <w:pPr>
              <w:keepNext/>
            </w:pPr>
            <w:r>
              <w:rPr>
                <w:sz w:val="18"/>
              </w:rPr>
              <w:t>CYP1A2</w:t>
            </w:r>
          </w:p>
        </w:tc>
        <w:tc>
          <w:tcPr>
            <w:tcW w:type="dxa" w:w="2436"/>
          </w:tcPr>
          <w:p>
            <w:pPr>
              <w:keepNext/>
            </w:pPr>
            <w:r>
              <w:rPr>
                <w:sz w:val="18"/>
              </w:rPr>
              <w:t>Phenacetin</w:t>
            </w:r>
          </w:p>
        </w:tc>
        <w:tc>
          <w:tcPr>
            <w:tcW w:type="dxa" w:w="2436"/>
          </w:tcPr>
          <w:p>
            <w:pPr>
              <w:keepNext/>
            </w:pPr>
            <w:r>
              <w:rPr>
                <w:sz w:val="18"/>
              </w:rPr>
              <w:t>Acetaminophen</w:t>
            </w:r>
          </w:p>
        </w:tc>
        <w:tc>
          <w:tcPr>
            <w:tcW w:type="dxa" w:w="2436"/>
          </w:tcPr>
          <w:p>
            <w:pPr>
              <w:keepNext/>
            </w:pPr>
            <w:r>
              <w:rPr>
                <w:sz w:val="18"/>
              </w:rPr>
              <w:t>Furafylline</w:t>
            </w:r>
          </w:p>
        </w:tc>
      </w:tr>
      <w:tr>
        <w:tc>
          <w:tcPr>
            <w:tcW w:type="dxa" w:w="2436"/>
          </w:tcPr>
          <w:p>
            <w:pPr>
              <w:keepNext/>
            </w:pPr>
            <w:r>
              <w:rPr>
                <w:sz w:val="18"/>
              </w:rPr>
              <w:t>CYP2C9</w:t>
            </w:r>
          </w:p>
        </w:tc>
        <w:tc>
          <w:tcPr>
            <w:tcW w:type="dxa" w:w="2436"/>
          </w:tcPr>
          <w:p>
            <w:pPr>
              <w:keepNext/>
            </w:pPr>
            <w:r>
              <w:rPr>
                <w:sz w:val="18"/>
              </w:rPr>
              <w:t>Diclofenac</w:t>
            </w:r>
          </w:p>
        </w:tc>
        <w:tc>
          <w:tcPr>
            <w:tcW w:type="dxa" w:w="2436"/>
          </w:tcPr>
          <w:p>
            <w:pPr>
              <w:keepNext/>
            </w:pPr>
            <w:r>
              <w:rPr>
                <w:sz w:val="18"/>
              </w:rPr>
              <w:t>4'-Hydroxydiclofenac</w:t>
            </w:r>
          </w:p>
        </w:tc>
        <w:tc>
          <w:tcPr>
            <w:tcW w:type="dxa" w:w="2436"/>
          </w:tcPr>
          <w:p>
            <w:pPr>
              <w:keepNext/>
            </w:pPr>
            <w:r>
              <w:rPr>
                <w:sz w:val="18"/>
              </w:rPr>
              <w:t>Sulfaphenazole</w:t>
            </w:r>
          </w:p>
        </w:tc>
      </w:tr>
      <w:tr>
        <w:tc>
          <w:tcPr>
            <w:tcW w:type="dxa" w:w="2436"/>
          </w:tcPr>
          <w:p>
            <w:pPr>
              <w:keepNext/>
            </w:pPr>
            <w:r>
              <w:rPr>
                <w:sz w:val="18"/>
              </w:rPr>
              <w:t>CYP2C19</w:t>
            </w:r>
          </w:p>
        </w:tc>
        <w:tc>
          <w:tcPr>
            <w:tcW w:type="dxa" w:w="2436"/>
          </w:tcPr>
          <w:p>
            <w:pPr>
              <w:keepNext/>
            </w:pPr>
            <w:r>
              <w:rPr>
                <w:sz w:val="18"/>
              </w:rPr>
              <w:t>S-Mephenytoin</w:t>
            </w:r>
          </w:p>
        </w:tc>
        <w:tc>
          <w:tcPr>
            <w:tcW w:type="dxa" w:w="2436"/>
          </w:tcPr>
          <w:p>
            <w:pPr>
              <w:keepNext/>
            </w:pPr>
            <w:r>
              <w:rPr>
                <w:sz w:val="18"/>
              </w:rPr>
              <w:t>4'-Hydroxymephenytoin</w:t>
            </w:r>
          </w:p>
        </w:tc>
        <w:tc>
          <w:tcPr>
            <w:tcW w:type="dxa" w:w="2436"/>
          </w:tcPr>
          <w:p>
            <w:pPr>
              <w:keepNext/>
            </w:pPr>
            <w:r>
              <w:rPr>
                <w:sz w:val="18"/>
              </w:rPr>
              <w:t>Ticlopidine</w:t>
            </w:r>
          </w:p>
        </w:tc>
      </w:tr>
      <w:tr>
        <w:tc>
          <w:tcPr>
            <w:tcW w:type="dxa" w:w="2436"/>
          </w:tcPr>
          <w:p>
            <w:pPr>
              <w:keepNext/>
            </w:pPr>
            <w:r>
              <w:rPr>
                <w:sz w:val="18"/>
              </w:rPr>
              <w:t>CYP2D6</w:t>
            </w:r>
          </w:p>
        </w:tc>
        <w:tc>
          <w:tcPr>
            <w:tcW w:type="dxa" w:w="2436"/>
          </w:tcPr>
          <w:p>
            <w:pPr>
              <w:keepNext/>
            </w:pPr>
            <w:r>
              <w:rPr>
                <w:sz w:val="18"/>
              </w:rPr>
              <w:t>Dextromethorphan</w:t>
            </w:r>
          </w:p>
        </w:tc>
        <w:tc>
          <w:tcPr>
            <w:tcW w:type="dxa" w:w="2436"/>
          </w:tcPr>
          <w:p>
            <w:pPr>
              <w:keepNext/>
            </w:pPr>
            <w:r>
              <w:rPr>
                <w:sz w:val="18"/>
              </w:rPr>
              <w:t>Dextrorphan</w:t>
            </w:r>
          </w:p>
        </w:tc>
        <w:tc>
          <w:tcPr>
            <w:tcW w:type="dxa" w:w="2436"/>
          </w:tcPr>
          <w:p>
            <w:pPr>
              <w:keepNext/>
            </w:pPr>
            <w:r>
              <w:rPr>
                <w:sz w:val="18"/>
              </w:rPr>
              <w:t>Quinidine</w:t>
            </w:r>
          </w:p>
        </w:tc>
      </w:tr>
      <w:tr>
        <w:tc>
          <w:tcPr>
            <w:tcW w:type="dxa" w:w="2436"/>
          </w:tcPr>
          <w:p>
            <w:r>
              <w:rPr>
                <w:sz w:val="18"/>
              </w:rPr>
              <w:t>CYP3A4</w:t>
            </w:r>
          </w:p>
        </w:tc>
        <w:tc>
          <w:tcPr>
            <w:tcW w:type="dxa" w:w="2436"/>
          </w:tcPr>
          <w:p>
            <w:r>
              <w:rPr>
                <w:sz w:val="18"/>
              </w:rPr>
              <w:t>Midazolam</w:t>
            </w:r>
          </w:p>
        </w:tc>
        <w:tc>
          <w:tcPr>
            <w:tcW w:type="dxa" w:w="2436"/>
          </w:tcPr>
          <w:p>
            <w:r>
              <w:rPr>
                <w:sz w:val="18"/>
              </w:rPr>
              <w:t>1'-Hydroxymidazolam</w:t>
            </w:r>
          </w:p>
        </w:tc>
        <w:tc>
          <w:tcPr>
            <w:tcW w:type="dxa" w:w="2436"/>
          </w:tcPr>
          <w:p>
            <w:r>
              <w:rPr>
                <w:sz w:val="18"/>
              </w:rPr>
              <w:t>Ketoconazole</w:t>
            </w:r>
          </w:p>
        </w:tc>
      </w:tr>
    </w:tbl>
    <w:p/>
    <w:p>
      <w:r>
        <w:t>Positive controls are run as 7-point concentration responses on every run. Furafylline and ticlopidine (mechanism-based inhibitors) are preincubated with microsomes and NADPH for 15 minutes before probe addition. A run is accepted when each control IC50 falls within 0.5-2 times the laboratory historical mean. Results are reported as mean percent inhibition relative to vehicle; values above 50% at 10 µM are flagged, and small negative values indicate no inhibition.</w:t>
      </w:r>
    </w:p>
    <w:p>
      <w:pPr>
        <w:pStyle w:val="Heading1"/>
        <w:keepNext/>
      </w:pPr>
      <w:r>
        <w:t>4 Deliverables</w:t>
      </w:r>
    </w:p>
    <w:p>
      <w:pPr>
        <w:pStyle w:val="ListBullet"/>
        <w:keepNext/>
        <w:keepLines/>
      </w:pPr>
      <w:r>
        <w:t>Results workbook (assay worksheets with compound-level data, control results and a study summary sheet)</w:t>
      </w:r>
    </w:p>
    <w:p>
      <w:pPr>
        <w:pStyle w:val="ListBullet"/>
        <w:keepNext/>
        <w:keepLines/>
      </w:pPr>
      <w:r>
        <w:t>Final report (PDF) with methods, control results and interpretation</w:t>
      </w:r>
    </w:p>
    <w:p>
      <w:pPr>
        <w:pStyle w:val="ListBullet"/>
        <w:keepLines/>
      </w:pPr>
      <w:r>
        <w:t>Raw traces and instrument files on request</w:t>
      </w:r>
    </w:p>
    <w:p>
      <w:pPr>
        <w:pStyle w:val="Heading1"/>
        <w:keepNext/>
      </w:pPr>
      <w:r>
        <w:t>5 Timeline</w:t>
      </w:r>
    </w:p>
    <w:p>
      <w:r>
        <w:t>3-week turnaround (15 business days) from receipt of test articles. Work starts once compounds and a purchase order are received; we will confirm the start date on receipt.</w:t>
      </w:r>
    </w:p>
    <w:p>
      <w:pPr>
        <w:pStyle w:val="Heading1"/>
        <w:keepNext/>
      </w:pPr>
      <w:r>
        <w:t>6 Price</w:t>
      </w:r>
    </w:p>
    <w:p>
      <w:pPr>
        <w:keepNext/>
      </w:pPr>
      <w:r>
        <w:rPr>
          <w:b/>
          <w:sz w:val="18"/>
        </w:rPr>
        <w:t>Fixed price, USD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84F78"/>
          </w:tcPr>
          <w:p>
            <w:pPr>
              <w:keepNext/>
            </w:pPr>
            <w:r>
              <w:rPr>
                <w:b/>
                <w:color w:val="FFFFFF"/>
                <w:sz w:val="18"/>
              </w:rPr>
              <w:t>Item</w:t>
            </w:r>
          </w:p>
        </w:tc>
        <w:tc>
          <w:tcPr>
            <w:tcW w:type="dxa" w:w="2436"/>
            <w:shd w:val="clear" w:color="auto" w:fill="284F78"/>
          </w:tcPr>
          <w:p>
            <w:pPr>
              <w:keepNext/>
            </w:pPr>
            <w:r>
              <w:rPr>
                <w:b/>
                <w:color w:val="FFFFFF"/>
                <w:sz w:val="18"/>
              </w:rPr>
              <w:t>Compounds</w:t>
            </w:r>
          </w:p>
        </w:tc>
        <w:tc>
          <w:tcPr>
            <w:tcW w:type="dxa" w:w="2436"/>
            <w:shd w:val="clear" w:color="auto" w:fill="284F78"/>
          </w:tcPr>
          <w:p>
            <w:pPr>
              <w:keepNext/>
            </w:pPr>
            <w:r>
              <w:rPr>
                <w:b/>
                <w:color w:val="FFFFFF"/>
                <w:sz w:val="18"/>
              </w:rPr>
              <w:t>Unit price</w:t>
            </w:r>
          </w:p>
        </w:tc>
        <w:tc>
          <w:tcPr>
            <w:tcW w:type="dxa" w:w="2436"/>
            <w:shd w:val="clear" w:color="auto" w:fill="284F78"/>
          </w:tcPr>
          <w:p>
            <w:pPr>
              <w:keepNext/>
            </w:pPr>
            <w:r>
              <w:rPr>
                <w:b/>
                <w:color w:val="FFFFFF"/>
                <w:sz w:val="18"/>
              </w:rPr>
              <w:t>Amount</w:t>
            </w:r>
          </w:p>
        </w:tc>
      </w:tr>
      <w:tr>
        <w:tc>
          <w:tcPr>
            <w:tcW w:type="dxa" w:w="2436"/>
          </w:tcPr>
          <w:p>
            <w:pPr>
              <w:keepNext/>
            </w:pPr>
            <w:r>
              <w:rPr>
                <w:sz w:val="18"/>
              </w:rPr>
              <w:t>IKr inhibition</w:t>
            </w:r>
          </w:p>
        </w:tc>
        <w:tc>
          <w:tcPr>
            <w:tcW w:type="dxa" w:w="2436"/>
          </w:tcPr>
          <w:p>
            <w:pPr>
              <w:keepNext/>
            </w:pPr>
            <w:r>
              <w:rPr>
                <w:sz w:val="18"/>
              </w:rPr>
              <w:t>38</w:t>
            </w:r>
          </w:p>
        </w:tc>
        <w:tc>
          <w:tcPr>
            <w:tcW w:type="dxa" w:w="2436"/>
          </w:tcPr>
          <w:p>
            <w:pPr>
              <w:keepNext/>
            </w:pPr>
            <w:r>
              <w:rPr>
                <w:sz w:val="18"/>
              </w:rPr>
              <w:t>$315</w:t>
            </w:r>
          </w:p>
        </w:tc>
        <w:tc>
          <w:tcPr>
            <w:tcW w:type="dxa" w:w="2436"/>
          </w:tcPr>
          <w:p>
            <w:pPr>
              <w:keepNext/>
            </w:pPr>
            <w:r>
              <w:rPr>
                <w:sz w:val="18"/>
              </w:rPr>
              <w:t>$11,970</w:t>
            </w:r>
          </w:p>
        </w:tc>
      </w:tr>
      <w:tr>
        <w:tc>
          <w:tcPr>
            <w:tcW w:type="dxa" w:w="2436"/>
          </w:tcPr>
          <w:p>
            <w:pPr>
              <w:keepNext/>
            </w:pPr>
            <w:r>
              <w:rPr>
                <w:sz w:val="18"/>
              </w:rPr>
              <w:t>Five-isoform DDI screen</w:t>
            </w:r>
          </w:p>
        </w:tc>
        <w:tc>
          <w:tcPr>
            <w:tcW w:type="dxa" w:w="2436"/>
          </w:tcPr>
          <w:p>
            <w:pPr>
              <w:keepNext/>
            </w:pPr>
            <w:r>
              <w:rPr>
                <w:sz w:val="18"/>
              </w:rPr>
              <w:t>38</w:t>
            </w:r>
          </w:p>
        </w:tc>
        <w:tc>
          <w:tcPr>
            <w:tcW w:type="dxa" w:w="2436"/>
          </w:tcPr>
          <w:p>
            <w:pPr>
              <w:keepNext/>
            </w:pPr>
            <w:r>
              <w:rPr>
                <w:sz w:val="18"/>
              </w:rPr>
              <w:t>$177.11</w:t>
            </w:r>
          </w:p>
        </w:tc>
        <w:tc>
          <w:tcPr>
            <w:tcW w:type="dxa" w:w="2436"/>
          </w:tcPr>
          <w:p>
            <w:pPr>
              <w:keepNext/>
            </w:pPr>
            <w:r>
              <w:rPr>
                <w:sz w:val="18"/>
              </w:rPr>
              <w:t>$6,730</w:t>
            </w:r>
          </w:p>
        </w:tc>
      </w:tr>
      <w:tr>
        <w:tc>
          <w:tcPr>
            <w:tcW w:type="dxa" w:w="2436"/>
          </w:tcPr>
          <w:p>
            <w:r>
              <w:rPr>
                <w:sz w:val="18"/>
              </w:rPr>
              <w:t>Total</w:t>
            </w:r>
          </w:p>
        </w:tc>
        <w:tc>
          <w:tcPr>
            <w:tcW w:type="dxa" w:w="2436"/>
          </w:tcPr>
          <w:p>
            <w:r>
              <w:rPr>
                <w:sz w:val="18"/>
              </w:rPr>
            </w:r>
          </w:p>
        </w:tc>
        <w:tc>
          <w:tcPr>
            <w:tcW w:type="dxa" w:w="2436"/>
          </w:tcPr>
          <w:p>
            <w:r>
              <w:rPr>
                <w:sz w:val="18"/>
              </w:rPr>
            </w:r>
          </w:p>
        </w:tc>
        <w:tc>
          <w:tcPr>
            <w:tcW w:type="dxa" w:w="2436"/>
          </w:tcPr>
          <w:p>
            <w:r>
              <w:rPr>
                <w:sz w:val="18"/>
              </w:rPr>
              <w:t>$18,700</w:t>
            </w:r>
          </w:p>
        </w:tc>
      </w:tr>
    </w:tbl>
    <w:p/>
    <w:p>
      <w:r>
        <w:t>Total price: $18,700 for 38 compounds.</w:t>
      </w:r>
    </w:p>
    <w:p>
      <w:pPr>
        <w:pStyle w:val="Heading1"/>
        <w:keepNext/>
      </w:pPr>
      <w:r>
        <w:t>7 Terms</w:t>
      </w:r>
    </w:p>
    <w:p>
      <w:pPr>
        <w:pStyle w:val="ListBullet"/>
        <w:keepNext/>
        <w:keepLines/>
      </w:pPr>
      <w:r>
        <w:t>Quotation valid for 90 days from the date above</w:t>
      </w:r>
    </w:p>
    <w:p>
      <w:pPr>
        <w:pStyle w:val="ListBullet"/>
        <w:keepNext/>
        <w:keepLines/>
      </w:pPr>
      <w:r>
        <w:t>Invoiced in full on issue of the final report; payment within 30 days</w:t>
      </w:r>
    </w:p>
    <w:p>
      <w:pPr>
        <w:pStyle w:val="ListBullet"/>
        <w:keepNext/>
        <w:keepLines/>
      </w:pPr>
      <w:r>
        <w:t>Unused compound returned or destroyed at the client's instruction</w:t>
      </w:r>
    </w:p>
    <w:p>
      <w:pPr>
        <w:pStyle w:val="ListBullet"/>
        <w:keepLines/>
      </w:pPr>
      <w:r>
        <w:t>Data and samples retained for 5 years</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Matteo Rinalvesi</w:t>
            </w:r>
          </w:p>
        </w:tc>
        <w:tc>
          <w:tcPr>
            <w:tcW w:type="dxa" w:w="2436"/>
          </w:tcPr>
          <w:p>
            <w:r>
              <w:t>DMPK Lead</w:t>
            </w:r>
          </w:p>
        </w:tc>
        <w:tc>
          <w:tcPr>
            <w:tcW w:type="dxa" w:w="2436"/>
          </w:tcPr>
          <w:p>
            <w:r>
              <w:drawing>
                <wp:inline xmlns:a="http://schemas.openxmlformats.org/drawingml/2006/main" xmlns:pic="http://schemas.openxmlformats.org/drawingml/2006/picture">
                  <wp:extent cx="1217793"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17793" cy="324000"/>
                          </a:xfrm>
                          <a:prstGeom prst="rect"/>
                        </pic:spPr>
                      </pic:pic>
                    </a:graphicData>
                  </a:graphic>
                </wp:inline>
              </w:drawing>
            </w:r>
          </w:p>
        </w:tc>
        <w:tc>
          <w:tcPr>
            <w:tcW w:type="dxa" w:w="2436"/>
          </w:tcPr>
          <w:p>
            <w:r>
              <w:t>November 5, 2015</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Merrivoss Bioanalysis Inc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MV-2015-266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4F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4F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84F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4F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Merrivoss Bioanalysis Inc</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MV-2015-266</dc:title>
  <dc:subject>ST03 growth-signal program: rapid hERG/DDI screen of 38 compounds</dc:subject>
  <dc:creator>Matteo Rinalvesi</dc:creator>
  <cp:keywords/>
  <dc:description>generated by python-docx</dc:description>
  <cp:lastModifiedBy>Matteo Rinalvesi</cp:lastModifiedBy>
  <cp:revision>11</cp:revision>
  <dcterms:created xsi:type="dcterms:W3CDTF">2015-11-05T10:31:35Z</dcterms:created>
  <dcterms:modified xsi:type="dcterms:W3CDTF">2015-11-06T17:47:14Z</dcterms:modified>
  <cp:category/>
</cp:coreProperties>
</file>