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C4C"/>
          <w:sz w:val="18"/>
        </w:rPr>
        <w:t>Quenverell Computational Ltd, a Tarnovell company</w:t>
      </w:r>
    </w:p>
    <w:p>
      <w:pPr>
        <w:pStyle w:val="Title"/>
      </w:pPr>
      <w:r>
        <w:t>Immune-cell RNA-seq reanalysis and target ranking</w:t>
      </w:r>
    </w:p>
    <w:p>
      <w:r>
        <w:rPr>
          <w:i/>
          <w:sz w:val="26"/>
        </w:rPr>
        <w:t>Proposal for Corvenlith Therapeutics</w:t>
      </w:r>
    </w:p>
    <w:p>
      <w:r>
        <w:t>Engagement: QV.23.100</w:t>
      </w:r>
    </w:p>
    <w:p>
      <w:r>
        <w:t>Date: 11/09/2023</w:t>
      </w:r>
    </w:p>
    <w:p>
      <w:r>
        <w:t>Prepared by: Dr T. Zawiernicki, Head of Bioinformatics</w:t>
      </w:r>
    </w:p>
    <w:p>
      <w:pPr>
        <w:pStyle w:val="Heading1"/>
        <w:keepNext/>
      </w:pPr>
      <w:r>
        <w:t>1 The biological question</w:t>
      </w:r>
    </w:p>
    <w:p>
      <w:r>
        <w:t>Corvenlith Therapeutics has RNA-seq from immune cells stimulated in vitro, from healthy and patient donors, with unstimulated and stimulated samples from each donor, and a candidate list of inflammatory targets. The question is which candidates respond to stimulation consistently across donors, and which differ between patient and healthy donors.</w:t>
      </w:r>
    </w:p>
    <w:p>
      <w:pPr>
        <w:pStyle w:val="Heading1"/>
        <w:keepNext/>
      </w:pPr>
      <w:r>
        <w:t>2 Data and provenance</w:t>
      </w:r>
    </w:p>
    <w:p>
      <w:pPr>
        <w:pStyle w:val="ListBullet"/>
        <w:keepNext/>
        <w:keepLines/>
      </w:pPr>
      <w:r>
        <w:t>Client-supplied FASTQ files and sample manifest</w:t>
      </w:r>
    </w:p>
    <w:p>
      <w:pPr>
        <w:pStyle w:val="ListBullet"/>
        <w:keepNext/>
        <w:keepLines/>
      </w:pPr>
      <w:r>
        <w:t>Donor, batch and stimulation metadata reconciled against the manifest before any analysis</w:t>
      </w:r>
    </w:p>
    <w:p>
      <w:pPr>
        <w:pStyle w:val="ListBullet"/>
        <w:keepLines/>
      </w:pPr>
      <w:r>
        <w:t>Public reference expression data for tissue context</w:t>
      </w:r>
    </w:p>
    <w:p>
      <w:pPr>
        <w:pStyle w:val="Heading1"/>
        <w:keepNext/>
      </w:pPr>
      <w:r>
        <w:t>3 Approach</w:t>
      </w:r>
    </w:p>
    <w:p>
      <w:pPr>
        <w:pStyle w:val="ListBullet"/>
        <w:keepNext/>
        <w:keepLines/>
      </w:pPr>
      <w:r>
        <w:t>Data acceptance: read QC, sample identity checks, outlier review</w:t>
      </w:r>
    </w:p>
    <w:p>
      <w:pPr>
        <w:pStyle w:val="ListBullet"/>
        <w:keepNext/>
        <w:keepLines/>
      </w:pPr>
      <w:r>
        <w:t>Within-donor stimulation contrasts with donor as a blocking factor (paired design)</w:t>
      </w:r>
    </w:p>
    <w:p>
      <w:pPr>
        <w:pStyle w:val="ListBullet"/>
        <w:keepNext/>
        <w:keepLines/>
      </w:pPr>
      <w:r>
        <w:t>Patient versus healthy comparison with an estimable group model (donor as a random effect, with age and sex as covariates); confirmed after manifest review</w:t>
      </w:r>
    </w:p>
    <w:p>
      <w:pPr>
        <w:pStyle w:val="ListBullet"/>
        <w:keepNext/>
        <w:keepLines/>
      </w:pPr>
      <w:r>
        <w:t>Sensitivity analysis: results with and without the two flagged donors</w:t>
      </w:r>
    </w:p>
    <w:p>
      <w:pPr>
        <w:pStyle w:val="ListBullet"/>
        <w:keepLines/>
      </w:pPr>
      <w:r>
        <w:t>Omics target prioritisation: evidence score per candidate combining expression, pathway context and tissue specificity</w:t>
      </w:r>
    </w:p>
    <w:p>
      <w:r>
        <w:t>Model uncertainty will be reported plainly; candidates whose ranking depends on a single donor will be flagged rather than dropped.</w:t>
      </w:r>
    </w:p>
    <w:p>
      <w:pPr>
        <w:pStyle w:val="Heading1"/>
        <w:keepNext/>
      </w:pPr>
      <w:r>
        <w:t>4 Deliverables and timing</w:t>
      </w:r>
    </w:p>
    <w:p>
      <w:pPr>
        <w:pStyle w:val="ListBullet"/>
        <w:keepNext/>
        <w:keepLines/>
      </w:pPr>
      <w:r>
        <w:t>Data acceptance note and interim readout (about 3 weeks after data receipt)</w:t>
      </w:r>
    </w:p>
    <w:p>
      <w:pPr>
        <w:pStyle w:val="ListBullet"/>
        <w:keepNext/>
        <w:keepLines/>
      </w:pPr>
      <w:r>
        <w:t>Final readout deck and ranked target cards</w:t>
      </w:r>
    </w:p>
    <w:p>
      <w:pPr>
        <w:pStyle w:val="ListBullet"/>
        <w:keepLines/>
      </w:pPr>
      <w:r>
        <w:t>Analysis notebook and versioned pipeline record</w:t>
      </w:r>
    </w:p>
    <w:p>
      <w:pPr>
        <w:pStyle w:val="Heading1"/>
        <w:keepNext/>
      </w:pPr>
      <w:r>
        <w:t>5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Work package</w:t>
            </w:r>
          </w:p>
        </w:tc>
        <w:tc>
          <w:tcPr>
            <w:tcW w:type="dxa" w:w="4706"/>
            <w:shd w:val="clear" w:color="auto" w:fill="183C4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Price (GBP)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Data acceptance and QC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£8,200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Differential expression and sensitivity analysis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£24,600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Target prioritisation and target cards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£16,800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Readouts</w:t>
            </w:r>
          </w:p>
        </w:tc>
        <w:tc>
          <w:tcPr>
            <w:tcW w:type="dxa" w:w="4706"/>
          </w:tcPr>
          <w:p>
            <w:pPr>
              <w:keepNext/>
            </w:pPr>
            <w:r>
              <w:rPr>
                <w:sz w:val="18"/>
              </w:rPr>
              <w:t>£4,800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£54,400</w:t>
            </w:r>
          </w:p>
        </w:tc>
      </w:tr>
    </w:tbl>
    <w:p/>
    <w:p>
      <w:r>
        <w:t>Fixed price, excluding VAT. Additional datasets quoted separately.</w:t>
      </w:r>
    </w:p>
    <w:p>
      <w:pPr>
        <w:pStyle w:val="Heading1"/>
        <w:keepNext/>
      </w:pPr>
      <w:r>
        <w:t>6 Notes</w:t>
      </w:r>
    </w:p>
    <w:p>
      <w:r>
        <w:rPr>
          <w:i/>
          <w:sz w:val="18"/>
        </w:rPr>
        <w:t>Corvenlith Therapeutics is an existing Quenverell client and is a separate company from the similarly named group account; please quote the Corvenlith name exactly on the purchase order.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Name</w:t>
            </w:r>
          </w:p>
        </w:tc>
        <w:tc>
          <w:tcPr>
            <w:tcW w:type="dxa" w:w="2353"/>
          </w:tcPr>
          <w:p>
            <w:r>
              <w:t>Role</w:t>
            </w:r>
          </w:p>
        </w:tc>
        <w:tc>
          <w:tcPr>
            <w:tcW w:type="dxa" w:w="2353"/>
          </w:tcPr>
          <w:p>
            <w:r>
              <w:t>Signature</w:t>
            </w:r>
          </w:p>
        </w:tc>
        <w:tc>
          <w:tcPr>
            <w:tcW w:type="dxa" w:w="2353"/>
          </w:tcPr>
          <w:p>
            <w:r>
              <w:t>Date</w:t>
            </w:r>
          </w:p>
        </w:tc>
      </w:tr>
      <w:tr>
        <w:tc>
          <w:tcPr>
            <w:tcW w:type="dxa" w:w="2353"/>
          </w:tcPr>
          <w:p>
            <w:r>
              <w:t>Tomasz Zawiernicki</w:t>
            </w:r>
          </w:p>
        </w:tc>
        <w:tc>
          <w:tcPr>
            <w:tcW w:type="dxa" w:w="2353"/>
          </w:tcPr>
          <w:p>
            <w:r>
              <w:t>Head of Bioinformatics</w:t>
            </w:r>
          </w:p>
        </w:tc>
        <w:tc>
          <w:tcPr>
            <w:tcW w:type="dxa" w:w="235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10235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235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3"/>
          </w:tcPr>
          <w:p>
            <w:r>
              <w:t>11/09/2023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Quenverell Computational Ltd, a Tarnovell company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QV.23.100 | Proposal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C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C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C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C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Tarnovell Bioscience Group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QV.23.100 proposal - Corvenlith Therapeutics</dc:title>
  <dc:subject>RNA-seq reanalysis and target ranking</dc:subject>
  <dc:creator>Tomasz Zawiernicki</dc:creator>
  <cp:keywords/>
  <dc:description>generated by python-docx</dc:description>
  <cp:lastModifiedBy>Tomasz Zawiernicki</cp:lastModifiedBy>
  <cp:revision>10</cp:revision>
  <dcterms:created xsi:type="dcterms:W3CDTF">2023-09-11T17:05:09Z</dcterms:created>
  <dcterms:modified xsi:type="dcterms:W3CDTF">2023-09-12T16:57:33Z</dcterms:modified>
  <cp:category/>
</cp:coreProperties>
</file>