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42F39"/>
          <w:sz w:val="18"/>
        </w:rPr>
        <w:t>Osterquill Toxicology Inc</w:t>
      </w:r>
    </w:p>
    <w:p>
      <w:pPr>
        <w:pStyle w:val="Title"/>
      </w:pPr>
      <w:r>
        <w:t>Standard Operating Procedure OQ-QA-014</w:t>
      </w:r>
    </w:p>
    <w:p>
      <w:r>
        <w:rPr>
          <w:i/>
          <w:sz w:val="26"/>
        </w:rPr>
        <w:t>Control of Individual-Animal Cards</w:t>
      </w:r>
    </w:p>
    <w:p>
      <w:r>
        <w:t>Revision 03</w:t>
      </w:r>
    </w:p>
    <w:p>
      <w:r>
        <w:t>Effective date: 02/20/2024</w:t>
      </w:r>
    </w:p>
    <w:p>
      <w:r>
        <w:t>Supersedes: Revision 02</w:t>
      </w:r>
    </w:p>
    <w:p>
      <w:r>
        <w:t>Approval: electronic signatures recorded in the controlled document system, 02/06/2024</w:t>
      </w:r>
    </w:p>
    <w:p>
      <w:pPr>
        <w:pStyle w:val="Heading1"/>
        <w:keepNext/>
      </w:pPr>
      <w:r>
        <w:t>1.0 Purpose</w:t>
      </w:r>
    </w:p>
    <w:p>
      <w:r>
        <w:t>This procedure defines how individual-animal cards are issued, completed, corrected, reconciled and archived so that every observation in an in vivo investigation can be reconstructed.</w:t>
      </w:r>
    </w:p>
    <w:p>
      <w:pPr>
        <w:pStyle w:val="Heading1"/>
        <w:keepNext/>
      </w:pPr>
      <w:r>
        <w:t>2.0 Scope</w:t>
      </w:r>
    </w:p>
    <w:p>
      <w:r>
        <w:t>Applies to all in vivo investigations at Osterquill. GLP studies follow every section and are audited by Quality Assurance against the study plan and GLP requirements. Exploratory (non-GLP) investigations also follow every section, including control review (5.8) and indexed archive transfer (5.9); for these, QA review covers data integrity only and no GLP compliance statement is made.</w:t>
      </w:r>
    </w:p>
    <w:p>
      <w:pPr>
        <w:pStyle w:val="Heading1"/>
        <w:keepNext/>
      </w:pPr>
      <w:r>
        <w:t>3.0 Responsibilities</w:t>
      </w:r>
    </w:p>
    <w:p>
      <w:pPr>
        <w:pStyle w:val="ListBullet"/>
        <w:keepNext/>
        <w:keepLines/>
      </w:pPr>
      <w:r>
        <w:t>Study Director: approves card templates, reviews control validity, signs off reconciliation exceptions</w:t>
      </w:r>
    </w:p>
    <w:p>
      <w:pPr>
        <w:pStyle w:val="ListBullet"/>
        <w:keepNext/>
        <w:keepLines/>
      </w:pPr>
      <w:r>
        <w:t>In vivo technicians: make contemporaneous entries and reconcile dose lots daily</w:t>
      </w:r>
    </w:p>
    <w:p>
      <w:pPr>
        <w:pStyle w:val="ListBullet"/>
        <w:keepNext/>
        <w:keepLines/>
      </w:pPr>
      <w:r>
        <w:t>Quality Assurance: maintains the issue register, audits cards and accepts them into the archive</w:t>
      </w:r>
    </w:p>
    <w:p>
      <w:pPr>
        <w:pStyle w:val="ListBullet"/>
        <w:keepLines/>
      </w:pPr>
      <w:r>
        <w:t>Archivist: indexes and stores released records</w:t>
      </w:r>
    </w:p>
    <w:p>
      <w:pPr>
        <w:pStyle w:val="Heading1"/>
        <w:keepNext/>
      </w:pPr>
      <w:r>
        <w:t>4.0 Definitions</w:t>
      </w:r>
    </w:p>
    <w:p>
      <w:pPr>
        <w:pStyle w:val="ListBullet"/>
        <w:keepNext/>
        <w:keepLines/>
      </w:pPr>
      <w:r>
        <w:t>Animal card: the primary record of observations, body weights and dosing for one animal</w:t>
      </w:r>
    </w:p>
    <w:p>
      <w:pPr>
        <w:pStyle w:val="ListBullet"/>
        <w:keepNext/>
        <w:keepLines/>
      </w:pPr>
      <w:r>
        <w:t>Dose lot: a prepared formulation batch identified on the dose preparation record</w:t>
      </w:r>
    </w:p>
    <w:p>
      <w:pPr>
        <w:pStyle w:val="ListBullet"/>
        <w:keepLines/>
      </w:pPr>
      <w:r>
        <w:t>Control validity: documented confirmation that concurrent control groups and the conduct of the investigation support interpretation of the treated groups</w:t>
      </w:r>
    </w:p>
    <w:p>
      <w:pPr>
        <w:pStyle w:val="Heading1"/>
        <w:keepNext/>
      </w:pPr>
      <w:r>
        <w:t>5.0 Procedure</w:t>
      </w:r>
    </w:p>
    <w:p>
      <w:pPr>
        <w:pStyle w:val="Heading2"/>
        <w:keepNext/>
      </w:pPr>
      <w:r>
        <w:t>5.1 Card identifiers</w:t>
      </w:r>
    </w:p>
    <w:p>
      <w:r>
        <w:t>Each card carries the investigation number, animal number, group, sex, cage location, card template version and a pre-printed serial number. Cards without all identifiers must not be used.</w:t>
      </w:r>
    </w:p>
    <w:p>
      <w:pPr>
        <w:pStyle w:val="Heading2"/>
        <w:keepNext/>
      </w:pPr>
      <w:r>
        <w:t>5.2 Card issue register</w:t>
      </w:r>
    </w:p>
    <w:p>
      <w:r>
        <w:t>Quality Assurance issues cards and records each issue in the register (form OQ-F-014A) before animal allocation.</w:t>
      </w:r>
    </w:p>
    <w:p>
      <w:pPr>
        <w:keepNext/>
      </w:pPr>
      <w:r>
        <w:rPr>
          <w:b/>
          <w:sz w:val="18"/>
        </w:rPr>
        <w:t>Form OQ-F-014A issue register fields</w:t>
      </w:r>
    </w:p>
    <w:tbl>
      <w:tblPr>
        <w:tblStyle w:val="TableGrid"/>
        <w:tblW w:type="auto" w:w="0"/>
        <w:tblLook w:firstColumn="1" w:firstRow="1" w:lastColumn="0" w:lastRow="0" w:noHBand="0" w:noVBand="1" w:val="04A0"/>
      </w:tblPr>
      <w:tblGrid>
        <w:gridCol w:w="4873"/>
        <w:gridCol w:w="4873"/>
      </w:tblGrid>
      <w:tr>
        <w:tc>
          <w:tcPr>
            <w:tcW w:type="dxa" w:w="4873"/>
            <w:shd w:val="clear" w:color="auto" w:fill="542F39"/>
          </w:tcPr>
          <w:p>
            <w:pPr>
              <w:keepNext/>
            </w:pPr>
            <w:r>
              <w:rPr>
                <w:b/>
                <w:color w:val="FFFFFF"/>
                <w:sz w:val="18"/>
              </w:rPr>
              <w:t>Field</w:t>
            </w:r>
          </w:p>
        </w:tc>
        <w:tc>
          <w:tcPr>
            <w:tcW w:type="dxa" w:w="4873"/>
            <w:shd w:val="clear" w:color="auto" w:fill="542F39"/>
          </w:tcPr>
          <w:p>
            <w:pPr>
              <w:keepNext/>
            </w:pPr>
            <w:r>
              <w:rPr>
                <w:b/>
                <w:color w:val="FFFFFF"/>
                <w:sz w:val="18"/>
              </w:rPr>
              <w:t>Content</w:t>
            </w:r>
          </w:p>
        </w:tc>
      </w:tr>
      <w:tr>
        <w:tc>
          <w:tcPr>
            <w:tcW w:type="dxa" w:w="4873"/>
          </w:tcPr>
          <w:p>
            <w:pPr>
              <w:keepNext/>
            </w:pPr>
            <w:r>
              <w:rPr>
                <w:sz w:val="18"/>
              </w:rPr>
              <w:t>Investigation number</w:t>
            </w:r>
          </w:p>
        </w:tc>
        <w:tc>
          <w:tcPr>
            <w:tcW w:type="dxa" w:w="4873"/>
          </w:tcPr>
          <w:p>
            <w:pPr>
              <w:keepNext/>
            </w:pPr>
            <w:r>
              <w:rPr>
                <w:sz w:val="18"/>
              </w:rPr>
              <w:t>e.g. OT-24-S0012</w:t>
            </w:r>
          </w:p>
        </w:tc>
      </w:tr>
      <w:tr>
        <w:tc>
          <w:tcPr>
            <w:tcW w:type="dxa" w:w="4873"/>
          </w:tcPr>
          <w:p>
            <w:pPr>
              <w:keepNext/>
            </w:pPr>
            <w:r>
              <w:rPr>
                <w:sz w:val="18"/>
              </w:rPr>
              <w:t>Template version</w:t>
            </w:r>
          </w:p>
        </w:tc>
        <w:tc>
          <w:tcPr>
            <w:tcW w:type="dxa" w:w="4873"/>
          </w:tcPr>
          <w:p>
            <w:pPr>
              <w:keepNext/>
            </w:pPr>
            <w:r>
              <w:rPr>
                <w:sz w:val="18"/>
              </w:rPr>
              <w:t>Card template version issued</w:t>
            </w:r>
          </w:p>
        </w:tc>
      </w:tr>
      <w:tr>
        <w:tc>
          <w:tcPr>
            <w:tcW w:type="dxa" w:w="4873"/>
          </w:tcPr>
          <w:p>
            <w:pPr>
              <w:keepNext/>
            </w:pPr>
            <w:r>
              <w:rPr>
                <w:sz w:val="18"/>
              </w:rPr>
              <w:t>Serial range</w:t>
            </w:r>
          </w:p>
        </w:tc>
        <w:tc>
          <w:tcPr>
            <w:tcW w:type="dxa" w:w="4873"/>
          </w:tcPr>
          <w:p>
            <w:pPr>
              <w:keepNext/>
            </w:pPr>
            <w:r>
              <w:rPr>
                <w:sz w:val="18"/>
              </w:rPr>
              <w:t>First and last card serial</w:t>
            </w:r>
          </w:p>
        </w:tc>
      </w:tr>
      <w:tr>
        <w:tc>
          <w:tcPr>
            <w:tcW w:type="dxa" w:w="4873"/>
          </w:tcPr>
          <w:p>
            <w:pPr>
              <w:keepNext/>
            </w:pPr>
            <w:r>
              <w:rPr>
                <w:sz w:val="18"/>
              </w:rPr>
              <w:t>Issued to / by</w:t>
            </w:r>
          </w:p>
        </w:tc>
        <w:tc>
          <w:tcPr>
            <w:tcW w:type="dxa" w:w="4873"/>
          </w:tcPr>
          <w:p>
            <w:pPr>
              <w:keepNext/>
            </w:pPr>
            <w:r>
              <w:rPr>
                <w:sz w:val="18"/>
              </w:rPr>
              <w:t>Initials and date</w:t>
            </w:r>
          </w:p>
        </w:tc>
      </w:tr>
      <w:tr>
        <w:tc>
          <w:tcPr>
            <w:tcW w:type="dxa" w:w="4873"/>
          </w:tcPr>
          <w:p>
            <w:r>
              <w:rPr>
                <w:sz w:val="18"/>
              </w:rPr>
              <w:t>Returned / voided</w:t>
            </w:r>
          </w:p>
        </w:tc>
        <w:tc>
          <w:tcPr>
            <w:tcW w:type="dxa" w:w="4873"/>
          </w:tcPr>
          <w:p>
            <w:r>
              <w:rPr>
                <w:sz w:val="18"/>
              </w:rPr>
              <w:t>Serials returned unused or voided, with reason</w:t>
            </w:r>
          </w:p>
        </w:tc>
      </w:tr>
    </w:tbl>
    <w:p/>
    <w:p>
      <w:pPr>
        <w:pStyle w:val="Heading2"/>
        <w:keepNext/>
      </w:pPr>
      <w:r>
        <w:t>5.3 Entries</w:t>
      </w:r>
    </w:p>
    <w:p>
      <w:pPr>
        <w:pStyle w:val="ListBullet"/>
        <w:keepNext/>
        <w:keepLines/>
      </w:pPr>
      <w:r>
        <w:t>Record observations at the time they are made, in indelible ink</w:t>
      </w:r>
    </w:p>
    <w:p>
      <w:pPr>
        <w:pStyle w:val="ListBullet"/>
        <w:keepNext/>
        <w:keepLines/>
      </w:pPr>
      <w:r>
        <w:t>Each entry is initialed and dated</w:t>
      </w:r>
    </w:p>
    <w:p>
      <w:pPr>
        <w:pStyle w:val="ListBullet"/>
        <w:keepLines/>
      </w:pPr>
      <w:r>
        <w:t>Do not leave blank lines between entries; strike through unused space at the end of each day</w:t>
      </w:r>
    </w:p>
    <w:p>
      <w:pPr>
        <w:pStyle w:val="Heading2"/>
        <w:keepNext/>
      </w:pPr>
      <w:r>
        <w:t>5.4 Corrections</w:t>
      </w:r>
    </w:p>
    <w:p>
      <w:r>
        <w:t>Strike through the original entry with a single line so it remains legible, write the correction alongside, and initial, date and give the reason. Correction fluid and overwriting are not permitted.</w:t>
      </w:r>
    </w:p>
    <w:p>
      <w:pPr>
        <w:pStyle w:val="Heading2"/>
        <w:keepNext/>
      </w:pPr>
      <w:r>
        <w:t>5.5 Dose-lot reconciliation</w:t>
      </w:r>
    </w:p>
    <w:p>
      <w:r>
        <w:t>At the end of each dosing day the dose lot on every card is reconciled against the dose preparation record. Discrepancies are reported to the Study Director the same day and recorded on form OQ-F-014B with the outcome.</w:t>
      </w:r>
    </w:p>
    <w:p>
      <w:pPr>
        <w:pStyle w:val="Heading2"/>
        <w:keepNext/>
      </w:pPr>
      <w:r>
        <w:t>5.6 Missing or damaged cards</w:t>
      </w:r>
    </w:p>
    <w:p>
      <w:r>
        <w:t>A missing or damaged card is reported to QA immediately. A replacement card with a new serial is issued and cross-referenced to the original; the original serial is marked as missing or damaged in the register, and the Study Director documents what data can be reconstructed from other records.</w:t>
      </w:r>
    </w:p>
    <w:p>
      <w:pPr>
        <w:pStyle w:val="Heading2"/>
        <w:keepNext/>
      </w:pPr>
      <w:r>
        <w:t>5.7 Welfare escalation</w:t>
      </w:r>
    </w:p>
    <w:p>
      <w:r>
        <w:t>Any observation meeting a humane endpoint criterion is reported immediately to the attending veterinarian and the Study Director, and the action taken is recorded on the card.</w:t>
      </w:r>
    </w:p>
    <w:p>
      <w:pPr>
        <w:pStyle w:val="Heading2"/>
        <w:keepNext/>
      </w:pPr>
      <w:r>
        <w:t>5.8 Control review</w:t>
      </w:r>
    </w:p>
    <w:p>
      <w:r>
        <w:t>Before the report is drafted, the Study Director assesses the concurrent control groups against the protocol-specific criteria, confirms that dosing, sampling and observations were carried out as planned, and records the conclusion on form OQ-F-014C. Historical control data are used as supporting context where available. Investigations without a reference group rely on the concurrent vehicle control and protocol criteria.</w:t>
      </w:r>
    </w:p>
    <w:p>
      <w:pPr>
        <w:pStyle w:val="Heading2"/>
        <w:keepNext/>
      </w:pPr>
      <w:r>
        <w:t>5.9 Archive transfer</w:t>
      </w:r>
    </w:p>
    <w:p>
      <w:r>
        <w:t>QA audits the completed card set, confirms that the register balances (issued = used + voided + returned), checks reconciliation and correction compliance, and accepts the cards into the archive. The archivist records the transfer in the archive index with the investigation number, serial range, box location and retention date. Cards are retained for at least 10 years.</w:t>
      </w:r>
    </w:p>
    <w:p>
      <w:pPr>
        <w:pStyle w:val="Heading1"/>
        <w:keepNext/>
      </w:pPr>
      <w:r>
        <w:t>6.0 Records</w:t>
      </w:r>
    </w:p>
    <w:p>
      <w:pPr>
        <w:pStyle w:val="ListBullet"/>
        <w:keepNext/>
        <w:keepLines/>
      </w:pPr>
      <w:r>
        <w:t>OQ-F-014A Card issue register</w:t>
      </w:r>
    </w:p>
    <w:p>
      <w:pPr>
        <w:pStyle w:val="ListBullet"/>
        <w:keepNext/>
        <w:keepLines/>
      </w:pPr>
      <w:r>
        <w:t>OQ-F-014B Dose-lot reconciliation exceptions</w:t>
      </w:r>
    </w:p>
    <w:p>
      <w:pPr>
        <w:pStyle w:val="ListBullet"/>
        <w:keepNext/>
        <w:keepLines/>
      </w:pPr>
      <w:r>
        <w:t>OQ-F-014C Control review record</w:t>
      </w:r>
    </w:p>
    <w:p>
      <w:pPr>
        <w:pStyle w:val="ListBullet"/>
        <w:keepLines/>
      </w:pPr>
      <w:r>
        <w:t>Archive index entry</w:t>
      </w:r>
    </w:p>
    <w:p>
      <w:pPr>
        <w:pStyle w:val="Heading1"/>
        <w:keepNext/>
      </w:pPr>
      <w:r>
        <w:t>7.0 Revision history</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542F39"/>
          </w:tcPr>
          <w:p>
            <w:pPr>
              <w:keepNext/>
            </w:pPr>
            <w:r>
              <w:rPr>
                <w:b/>
                <w:color w:val="FFFFFF"/>
                <w:sz w:val="18"/>
              </w:rPr>
              <w:t>Rev</w:t>
            </w:r>
          </w:p>
        </w:tc>
        <w:tc>
          <w:tcPr>
            <w:tcW w:type="dxa" w:w="3249"/>
            <w:shd w:val="clear" w:color="auto" w:fill="542F39"/>
          </w:tcPr>
          <w:p>
            <w:pPr>
              <w:keepNext/>
            </w:pPr>
            <w:r>
              <w:rPr>
                <w:b/>
                <w:color w:val="FFFFFF"/>
                <w:sz w:val="18"/>
              </w:rPr>
              <w:t>Date</w:t>
            </w:r>
          </w:p>
        </w:tc>
        <w:tc>
          <w:tcPr>
            <w:tcW w:type="dxa" w:w="3249"/>
            <w:shd w:val="clear" w:color="auto" w:fill="542F39"/>
          </w:tcPr>
          <w:p>
            <w:pPr>
              <w:keepNext/>
            </w:pPr>
            <w:r>
              <w:rPr>
                <w:b/>
                <w:color w:val="FFFFFF"/>
                <w:sz w:val="18"/>
              </w:rPr>
              <w:t>Change</w:t>
            </w:r>
          </w:p>
        </w:tc>
      </w:tr>
      <w:tr>
        <w:tc>
          <w:tcPr>
            <w:tcW w:type="dxa" w:w="3249"/>
          </w:tcPr>
          <w:p>
            <w:pPr>
              <w:keepNext/>
            </w:pPr>
            <w:r>
              <w:rPr>
                <w:sz w:val="18"/>
              </w:rPr>
              <w:t>01</w:t>
            </w:r>
          </w:p>
        </w:tc>
        <w:tc>
          <w:tcPr>
            <w:tcW w:type="dxa" w:w="3249"/>
          </w:tcPr>
          <w:p>
            <w:pPr>
              <w:keepNext/>
            </w:pPr>
            <w:r>
              <w:rPr>
                <w:sz w:val="18"/>
              </w:rPr>
              <w:t>04/14/2014</w:t>
            </w:r>
          </w:p>
        </w:tc>
        <w:tc>
          <w:tcPr>
            <w:tcW w:type="dxa" w:w="3249"/>
          </w:tcPr>
          <w:p>
            <w:pPr>
              <w:keepNext/>
            </w:pPr>
            <w:r>
              <w:rPr>
                <w:sz w:val="18"/>
              </w:rPr>
              <w:t>New SOP</w:t>
            </w:r>
          </w:p>
        </w:tc>
      </w:tr>
      <w:tr>
        <w:tc>
          <w:tcPr>
            <w:tcW w:type="dxa" w:w="3249"/>
          </w:tcPr>
          <w:p>
            <w:pPr>
              <w:keepNext/>
            </w:pPr>
            <w:r>
              <w:rPr>
                <w:sz w:val="18"/>
              </w:rPr>
              <w:t>02</w:t>
            </w:r>
          </w:p>
        </w:tc>
        <w:tc>
          <w:tcPr>
            <w:tcW w:type="dxa" w:w="3249"/>
          </w:tcPr>
          <w:p>
            <w:pPr>
              <w:keepNext/>
            </w:pPr>
            <w:r>
              <w:rPr>
                <w:sz w:val="18"/>
              </w:rPr>
              <w:t>09/08/2019</w:t>
            </w:r>
          </w:p>
        </w:tc>
        <w:tc>
          <w:tcPr>
            <w:tcW w:type="dxa" w:w="3249"/>
          </w:tcPr>
          <w:p>
            <w:pPr>
              <w:keepNext/>
            </w:pPr>
            <w:r>
              <w:rPr>
                <w:sz w:val="18"/>
              </w:rPr>
              <w:t>Added dose-lot reconciliation</w:t>
            </w:r>
          </w:p>
        </w:tc>
      </w:tr>
      <w:tr>
        <w:tc>
          <w:tcPr>
            <w:tcW w:type="dxa" w:w="3249"/>
          </w:tcPr>
          <w:p>
            <w:r>
              <w:rPr>
                <w:sz w:val="18"/>
              </w:rPr>
              <w:t>03</w:t>
            </w:r>
          </w:p>
        </w:tc>
        <w:tc>
          <w:tcPr>
            <w:tcW w:type="dxa" w:w="3249"/>
          </w:tcPr>
          <w:p>
            <w:r>
              <w:rPr>
                <w:sz w:val="18"/>
              </w:rPr>
              <w:t>02/20/2024</w:t>
            </w:r>
          </w:p>
        </w:tc>
        <w:tc>
          <w:tcPr>
            <w:tcW w:type="dxa" w:w="3249"/>
          </w:tcPr>
          <w:p>
            <w:r>
              <w:rPr>
                <w:sz w:val="18"/>
              </w:rPr>
              <w:t>Same card controls for GLP and exploratory investigations; added identifiers, register fields, missing-card handling and control review record</w:t>
            </w:r>
          </w:p>
        </w:tc>
      </w:tr>
    </w:tbl>
    <w:p/>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t>Name</w:t>
            </w:r>
          </w:p>
        </w:tc>
        <w:tc>
          <w:tcPr>
            <w:tcW w:type="dxa" w:w="2436"/>
          </w:tcPr>
          <w:p>
            <w:r>
              <w:t>Role</w:t>
            </w:r>
          </w:p>
        </w:tc>
        <w:tc>
          <w:tcPr>
            <w:tcW w:type="dxa" w:w="2436"/>
          </w:tcPr>
          <w:p>
            <w:r>
              <w:t>Signature</w:t>
            </w:r>
          </w:p>
        </w:tc>
        <w:tc>
          <w:tcPr>
            <w:tcW w:type="dxa" w:w="2436"/>
          </w:tcPr>
          <w:p>
            <w:r>
              <w:t>Date</w:t>
            </w:r>
          </w:p>
        </w:tc>
      </w:tr>
      <w:tr>
        <w:tc>
          <w:tcPr>
            <w:tcW w:type="dxa" w:w="2436"/>
          </w:tcPr>
          <w:p>
            <w:r>
              <w:t>Lucia Moretti</w:t>
            </w:r>
          </w:p>
        </w:tc>
        <w:tc>
          <w:tcPr>
            <w:tcW w:type="dxa" w:w="2436"/>
          </w:tcPr>
          <w:p>
            <w:r>
              <w:t>GLP Quality Assurance and Archive Lead (author)</w:t>
            </w:r>
          </w:p>
        </w:tc>
        <w:tc>
          <w:tcPr>
            <w:tcW w:type="dxa" w:w="2436"/>
          </w:tcPr>
          <w:p/>
        </w:tc>
        <w:tc>
          <w:tcPr>
            <w:tcW w:type="dxa" w:w="2436"/>
          </w:tcPr>
          <w:p>
            <w:r>
              <w:t>02/06/2024</w:t>
            </w:r>
          </w:p>
        </w:tc>
      </w:tr>
      <w:tr>
        <w:tc>
          <w:tcPr>
            <w:tcW w:type="dxa" w:w="2436"/>
          </w:tcPr>
          <w:p>
            <w:r>
              <w:t>Naomi Takamori</w:t>
            </w:r>
          </w:p>
        </w:tc>
        <w:tc>
          <w:tcPr>
            <w:tcW w:type="dxa" w:w="2436"/>
          </w:tcPr>
          <w:p>
            <w:r>
              <w:t>Head of Toxicology (approver)</w:t>
            </w:r>
          </w:p>
        </w:tc>
        <w:tc>
          <w:tcPr>
            <w:tcW w:type="dxa" w:w="2436"/>
          </w:tcPr>
          <w:p/>
        </w:tc>
        <w:tc>
          <w:tcPr>
            <w:tcW w:type="dxa" w:w="2436"/>
          </w:tcPr>
          <w:p>
            <w:r>
              <w:t>02/06/2024</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Osterquill Toxicology Inc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OSTERQUILL TOXICOLOGY INC | SOP OQ-QA-014 | Rev 03 | Effective 02/20/2024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542F3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542F39"/>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542F3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542F3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Osterquill Toxicology Inc</Company>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OQ-QA-014 Animal Card Control Rev 03</dc:title>
  <dc:subject>Standard operating procedure</dc:subject>
  <dc:creator>Lucia Moretti</dc:creator>
  <cp:keywords/>
  <dc:description>generated by python-docx</dc:description>
  <cp:lastModifiedBy>Lucia Moretti</cp:lastModifiedBy>
  <cp:revision>10</cp:revision>
  <dcterms:created xsi:type="dcterms:W3CDTF">2024-02-06T10:23:00Z</dcterms:created>
  <dcterms:modified xsi:type="dcterms:W3CDTF">2024-02-06T15:41:00Z</dcterms:modified>
  <cp:category/>
</cp:coreProperties>
</file>