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42F39"/>
          <w:sz w:val="18"/>
        </w:rPr>
        <w:t>Osterquill Toxicology Inc</w:t>
      </w:r>
    </w:p>
    <w:p>
      <w:pPr>
        <w:pStyle w:val="Title"/>
      </w:pPr>
      <w:r>
        <w:t>Standard Operating Procedure OQ-QA-014</w:t>
      </w:r>
    </w:p>
    <w:p>
      <w:r>
        <w:rPr>
          <w:i/>
          <w:sz w:val="26"/>
        </w:rPr>
        <w:t>Control of Individual-Animal Cards</w:t>
      </w:r>
    </w:p>
    <w:p>
      <w:r>
        <w:t>Revision 03</w:t>
      </w:r>
    </w:p>
    <w:p>
      <w:r>
        <w:t>Effective date: 02/20/2024</w:t>
      </w:r>
    </w:p>
    <w:p>
      <w:r>
        <w:t>Supersedes: Revision 02</w:t>
      </w:r>
    </w:p>
    <w:p>
      <w:pPr>
        <w:pStyle w:val="Heading1"/>
      </w:pPr>
      <w:r>
        <w:t>1.0 Purpose</w:t>
      </w:r>
    </w:p>
    <w:p>
      <w:r>
        <w:t>This procedure defines how individual-animal cards are issued, completed, corrected, reconciled and archived so that every observation in an in vivo investigation can be reconstructed.</w:t>
      </w:r>
    </w:p>
    <w:p>
      <w:pPr>
        <w:pStyle w:val="Heading1"/>
      </w:pPr>
      <w:r>
        <w:t>2.0 Scope</w:t>
      </w:r>
    </w:p>
    <w:p>
      <w:r>
        <w:t>Applies to all in vivo investigations at Osterquill. GLP studies follow every section. Exploratory investigations follow sections 5.1 to 5.5; QA audit of exploratory records is for data integrity only and does not constitute a GLP compliance statement.</w:t>
      </w:r>
    </w:p>
    <w:p>
      <w:pPr>
        <w:pStyle w:val="Heading1"/>
      </w:pPr>
      <w:r>
        <w:t>3.0 Responsibilities</w:t>
      </w:r>
    </w:p>
    <w:p>
      <w:pPr>
        <w:pStyle w:val="ListBullet"/>
      </w:pPr>
      <w:r>
        <w:t>Study Director: approves card templates and reviews control validity</w:t>
      </w:r>
    </w:p>
    <w:p>
      <w:pPr>
        <w:pStyle w:val="ListBullet"/>
      </w:pPr>
      <w:r>
        <w:t>In vivo technicians: make contemporaneous entries</w:t>
      </w:r>
    </w:p>
    <w:p>
      <w:pPr>
        <w:pStyle w:val="ListBullet"/>
      </w:pPr>
      <w:r>
        <w:t>Quality Assurance: audits cards and releases them to the archive</w:t>
      </w:r>
    </w:p>
    <w:p>
      <w:pPr>
        <w:pStyle w:val="Heading1"/>
      </w:pPr>
      <w:r>
        <w:t>4.0 Definitions</w:t>
      </w:r>
    </w:p>
    <w:p>
      <w:pPr>
        <w:pStyle w:val="ListBullet"/>
      </w:pPr>
      <w:r>
        <w:t>Animal card: the primary record of observations, body weights and dosing for one animal</w:t>
      </w:r>
    </w:p>
    <w:p>
      <w:pPr>
        <w:pStyle w:val="ListBullet"/>
      </w:pPr>
      <w:r>
        <w:t>Dose lot: a prepared formulation batch identified on the dose record</w:t>
      </w:r>
    </w:p>
    <w:p>
      <w:pPr>
        <w:pStyle w:val="ListBullet"/>
      </w:pPr>
      <w:r>
        <w:t>Control validity: confirmation that vehicle and reference groups behaved within historical expectations</w:t>
      </w:r>
    </w:p>
    <w:p>
      <w:pPr>
        <w:pStyle w:val="Heading1"/>
      </w:pPr>
      <w:r>
        <w:t>5.0 Procedure</w:t>
      </w:r>
    </w:p>
    <w:p>
      <w:pPr>
        <w:pStyle w:val="Heading2"/>
      </w:pPr>
      <w:r>
        <w:t>5.1 Card issue</w:t>
      </w:r>
    </w:p>
    <w:p>
      <w:r>
        <w:t>Cards are printed from the approved template for each investigation, pre-numbered and logged in the card issue register before animal allocation.</w:t>
      </w:r>
    </w:p>
    <w:p>
      <w:pPr>
        <w:pStyle w:val="Heading2"/>
      </w:pPr>
      <w:r>
        <w:t>5.2 Entries</w:t>
      </w:r>
    </w:p>
    <w:p>
      <w:pPr>
        <w:pStyle w:val="ListBullet"/>
      </w:pPr>
      <w:r>
        <w:t>Record observations at the time they are made, in indelible ink</w:t>
      </w:r>
    </w:p>
    <w:p>
      <w:pPr>
        <w:pStyle w:val="ListBullet"/>
      </w:pPr>
      <w:r>
        <w:t>Each entry is initialed and dated</w:t>
      </w:r>
    </w:p>
    <w:p>
      <w:pPr>
        <w:pStyle w:val="ListBullet"/>
      </w:pPr>
      <w:r>
        <w:t>Do not leave blank lines between entries; strike through unused space at the end of each day</w:t>
      </w:r>
    </w:p>
    <w:p>
      <w:pPr>
        <w:pStyle w:val="Heading2"/>
      </w:pPr>
      <w:r>
        <w:t>5.3 Corrections</w:t>
      </w:r>
    </w:p>
    <w:p>
      <w:r>
        <w:t>Strike through the original entry with a single line so it remains legible, write the correction alongside, and initial, date and give the reason. Correction fluid and overwriting are not permitted.</w:t>
      </w:r>
    </w:p>
    <w:p>
      <w:pPr>
        <w:pStyle w:val="Heading2"/>
      </w:pPr>
      <w:r>
        <w:t>5.4 Dose-lot reconciliation</w:t>
      </w:r>
    </w:p>
    <w:p>
      <w:r>
        <w:t>At the end of each dosing day the dose lot on every card is reconciled against the dose preparation record. Discrepancies are reported to the Study Director the same day.</w:t>
      </w:r>
    </w:p>
    <w:p>
      <w:pPr>
        <w:pStyle w:val="Heading2"/>
      </w:pPr>
      <w:r>
        <w:t>5.5 Welfare escalation</w:t>
      </w:r>
    </w:p>
    <w:p>
      <w:r>
        <w:t>Any observation meeting a humane endpoint criterion is reported immediately to the attending veterinarian and the Study Director, and the action taken is recorded on the card.</w:t>
      </w:r>
    </w:p>
    <w:p>
      <w:pPr>
        <w:pStyle w:val="Heading2"/>
      </w:pPr>
      <w:r>
        <w:t>5.6 Control validity review</w:t>
      </w:r>
    </w:p>
    <w:p>
      <w:r>
        <w:t>Before the report is drafted, the Study Director reviews vehicle and reference group data against historical control ranges and documents the conclusion.</w:t>
      </w:r>
    </w:p>
    <w:p>
      <w:pPr>
        <w:pStyle w:val="Heading2"/>
      </w:pPr>
      <w:r>
        <w:t>5.7 Archive release</w:t>
      </w:r>
    </w:p>
    <w:p>
      <w:r>
        <w:t>QA audits the completed card set, confirms reconciliation and correction compliance, and releases the cards to the archive with an archive index entry. Cards are retained for at least 10 years.</w:t>
      </w:r>
    </w:p>
    <w:p>
      <w:pPr>
        <w:pStyle w:val="Heading1"/>
      </w:pPr>
      <w:r>
        <w:t>6.0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542F39"/>
          </w:tcPr>
          <w:p>
            <w:r>
              <w:rPr>
                <w:b/>
                <w:color w:val="FFFFFF"/>
                <w:sz w:val="18"/>
              </w:rPr>
              <w:t>Rev</w:t>
            </w:r>
          </w:p>
        </w:tc>
        <w:tc>
          <w:tcPr>
            <w:tcW w:type="dxa" w:w="3249"/>
            <w:shd w:val="clear" w:color="auto" w:fill="542F39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49"/>
            <w:shd w:val="clear" w:color="auto" w:fill="542F39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04/14/2014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New SOP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09/08/2019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Added dose-lot reconciliation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02/20/2024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Separated GLP and exploratory requirements; added welfare escalation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Name</w:t>
            </w:r>
          </w:p>
        </w:tc>
        <w:tc>
          <w:tcPr>
            <w:tcW w:type="dxa" w:w="2436"/>
          </w:tcPr>
          <w:p>
            <w:r>
              <w:t>Role</w:t>
            </w:r>
          </w:p>
        </w:tc>
        <w:tc>
          <w:tcPr>
            <w:tcW w:type="dxa" w:w="2436"/>
          </w:tcPr>
          <w:p>
            <w:r>
              <w:t>Signature</w:t>
            </w:r>
          </w:p>
        </w:tc>
        <w:tc>
          <w:tcPr>
            <w:tcW w:type="dxa" w:w="2436"/>
          </w:tcPr>
          <w:p>
            <w:r>
              <w:t>Date</w:t>
            </w:r>
          </w:p>
        </w:tc>
      </w:tr>
      <w:tr>
        <w:tc>
          <w:tcPr>
            <w:tcW w:type="dxa" w:w="2436"/>
          </w:tcPr>
          <w:p>
            <w:r>
              <w:t>Lucia Moretti</w:t>
            </w:r>
          </w:p>
        </w:tc>
        <w:tc>
          <w:tcPr>
            <w:tcW w:type="dxa" w:w="2436"/>
          </w:tcPr>
          <w:p>
            <w:r>
              <w:t>GLP Quality Assurance and Archive Lead</w:t>
            </w:r>
          </w:p>
        </w:tc>
        <w:tc>
          <w:tcPr>
            <w:tcW w:type="dxa" w:w="2436"/>
          </w:tcPr>
          <w:p>
            <w:r>
              <w:rPr>
                <w:rFonts w:ascii="Georgia" w:hAnsi="Georgia"/>
                <w:i/>
              </w:rPr>
              <w:t>Moretti</w:t>
            </w:r>
          </w:p>
        </w:tc>
        <w:tc>
          <w:tcPr>
            <w:tcW w:type="dxa" w:w="2436"/>
          </w:tcPr>
          <w:p>
            <w:r>
              <w:t>02/06/2024</w:t>
            </w:r>
          </w:p>
        </w:tc>
      </w:tr>
      <w:tr>
        <w:tc>
          <w:tcPr>
            <w:tcW w:type="dxa" w:w="2436"/>
          </w:tcPr>
          <w:p>
            <w:r>
              <w:t>Naomi Takamori</w:t>
            </w:r>
          </w:p>
        </w:tc>
        <w:tc>
          <w:tcPr>
            <w:tcW w:type="dxa" w:w="2436"/>
          </w:tcPr>
          <w:p>
            <w:r>
              <w:t>Head of Toxicology</w:t>
            </w:r>
          </w:p>
        </w:tc>
        <w:tc>
          <w:tcPr>
            <w:tcW w:type="dxa" w:w="2436"/>
          </w:tcPr>
          <w:p>
            <w:r>
              <w:rPr>
                <w:rFonts w:ascii="Georgia" w:hAnsi="Georgia"/>
                <w:i/>
              </w:rPr>
              <w:t>Takamori</w:t>
            </w:r>
          </w:p>
        </w:tc>
        <w:tc>
          <w:tcPr>
            <w:tcW w:type="dxa" w:w="2436"/>
          </w:tcPr>
          <w:p>
            <w:r>
              <w:t>02/06/2024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464"/>
        <w:sz w:val="16"/>
      </w:rPr>
      <w:t>Osterquill Toxicology Inc | Confidential</w:t>
    </w:r>
    <w:r>
      <w:t xml:space="preserve">  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OSTERQUILL TOXICOLOGY INC | SOP OQ-QA-014 | Rev 03 | Effective 02/20/2024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2F3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42F3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42F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542F3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LinksUpToDate>false</LinksUpToDate>
  <CharactersWithSpaces>0</CharactersWithSpaces>
  <SharedDoc>false</SharedDoc>
  <HyperlinkBase/>
  <HyperlinksChanged>false</HyperlinksChanged>
  <Company>Osterquill Toxicology Inc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OQ-QA-014 Animal Card Control Rev 03</dc:title>
  <dc:subject>Standard operating procedure</dc:subject>
  <dc:creator>Lucia Moretti</dc:creator>
  <cp:keywords/>
  <dc:description>generated by python-docx</dc:description>
  <cp:lastModifiedBy>Lucia Moretti</cp:lastModifiedBy>
  <cp:revision>10</cp:revision>
  <dcterms:created xsi:type="dcterms:W3CDTF">2024-02-06T10:23:00Z</dcterms:created>
  <dcterms:modified xsi:type="dcterms:W3CDTF">2024-02-06T15:41:00Z</dcterms:modified>
  <cp:category/>
</cp:coreProperties>
</file>