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83C4C"/>
          <w:sz w:val="18"/>
        </w:rPr>
        <w:t>Merrivoss Bioanalysis Inc, a Tarnovell company</w:t>
      </w:r>
    </w:p>
    <w:p>
      <w:pPr>
        <w:pStyle w:val="Title"/>
      </w:pPr>
      <w:r>
        <w:t>Proposal and Quotation</w:t>
      </w:r>
    </w:p>
    <w:p>
      <w:r>
        <w:rPr>
          <w:i/>
          <w:sz w:val="26"/>
        </w:rPr>
        <w:t>TP04 inflammatory kinase follow-up: 40-compound cardiac and CYP screen</w:t>
      </w:r>
    </w:p>
    <w:p>
      <w:r>
        <w:t>Proposal reference: MV-2024-358</w:t>
      </w:r>
    </w:p>
    <w:p>
      <w:r>
        <w:t>Prepared for: Tervemere Pharma AG</w:t>
      </w:r>
    </w:p>
    <w:p>
      <w:r>
        <w:t>Date: November 11, 2024</w:t>
      </w:r>
    </w:p>
    <w:p>
      <w:pPr>
        <w:pStyle w:val="Heading1"/>
      </w:pPr>
      <w:r>
        <w:t>1 Introduction</w:t>
      </w:r>
    </w:p>
    <w:p>
      <w:r>
        <w:t>Merrivoss Bioanalysis is pleased to provide this proposal. Matrix, species and analytical limits are stated for each assay before any interpretation. This document responds to the request from Tervemere Pharma AG for work on 40 compounds from the Tervemere aminopyrazolopyrimidine test article set.</w:t>
      </w:r>
    </w:p>
    <w:p>
      <w:r>
        <w:t>Reference: MV-2024-358. Prepared by Dr P. Nandekuri, DMPK Lead.</w:t>
      </w:r>
    </w:p>
    <w:p>
      <w:pPr>
        <w:pStyle w:val="Heading1"/>
      </w:pPr>
      <w:r>
        <w:t>2 Scope of work</w:t>
      </w:r>
    </w:p>
    <w:p>
      <w:r>
        <w:t>40 compounds, supplied by Tervemere Pharma AG as 10 mM DMSO solutions (minimum 40 µL each) in a single accession lot.</w:t>
      </w:r>
    </w:p>
    <w:p>
      <w:pPr>
        <w:pStyle w:val="ListBullet"/>
      </w:pPr>
      <w:r>
        <w:t>IKr inhibition: 6-point concentration response (top 30 µM), n≥2 cells per compound, E-4031 control</w:t>
      </w:r>
    </w:p>
    <w:p>
      <w:pPr>
        <w:pStyle w:val="ListBullet"/>
      </w:pPr>
      <w:r>
        <w:t>Five-isoform DDI screen: CYP1A2, 2C9, 2C19, 2D6 and 3A4 at 10 µM in duplicate, probe substrates by LC-MS/MS</w:t>
      </w:r>
    </w:p>
    <w:p>
      <w:pPr>
        <w:pStyle w:val="ListBullet"/>
      </w:pPr>
      <w:r>
        <w:t>CYP3A4 inhibition curves: 7-point IC50 for compounds above 50% CYP3A4 inhibition (included for up to 10 compounds)</w:t>
      </w:r>
    </w:p>
    <w:p>
      <w:pPr>
        <w:pStyle w:val="Heading1"/>
      </w:pPr>
      <w:r>
        <w:t>3 Study design</w:t>
      </w:r>
    </w:p>
    <w:p>
      <w:r>
        <w:t>Methods follow our standard procedures, summarised below. Any deviation is agreed with the client before testing.</w:t>
      </w:r>
    </w:p>
    <w:p>
      <w:pPr>
        <w:pStyle w:val="Heading2"/>
      </w:pPr>
      <w:r>
        <w:t>IKr inhibition</w:t>
      </w:r>
    </w:p>
    <w:p>
      <w:r>
        <w:t>CHO cells stably expressing hERG (KCNH2) were recorded in whole-cell configuration on a 16-channel automated patch clamp platform at room temperature. Cells were held at -80 mV, depolarised to +40 mV for 2 s and repolarised to -50 mV for 2 s to elicit the tail current, at 0.1 Hz. Each compound was applied cumulatively at 0.12, 0.37, 1.1, 3.3, 10 and 30 µM (0.3% DMSO final), with 3-5 minutes per concentration.</w:t>
      </w:r>
    </w:p>
    <w:p>
      <w:pPr>
        <w:pStyle w:val="ListBullet"/>
      </w:pPr>
      <w:r>
        <w:t>Matrix acceptance: seal resistance ≥500 MΩ before break-in and ≥200 MΩ throughout</w:t>
      </w:r>
    </w:p>
    <w:p>
      <w:pPr>
        <w:pStyle w:val="ListBullet"/>
      </w:pPr>
      <w:r>
        <w:t>Tail current amplitude ≥200 pA at baseline; run-down ≤10% over the vehicle period</w:t>
      </w:r>
    </w:p>
    <w:p>
      <w:pPr>
        <w:pStyle w:val="ListBullet"/>
      </w:pPr>
      <w:r>
        <w:t>Positive control E-4031 on every run; IC50 must fall within 5-50 nM</w:t>
      </w:r>
    </w:p>
    <w:p>
      <w:pPr>
        <w:pStyle w:val="ListBullet"/>
      </w:pPr>
      <w:r>
        <w:t>IC50 from a four-parameter logistic fit of mean tail-current inhibition; n≥2 cells per compound</w:t>
      </w:r>
    </w:p>
    <w:p>
      <w:pPr>
        <w:pStyle w:val="Heading2"/>
      </w:pPr>
      <w:r>
        <w:t>Five-isoform DDI screen</w:t>
      </w:r>
    </w:p>
    <w:p>
      <w:r>
        <w:t>Pooled human liver microsomes (0.1 mg/mL protein) were incubated with each compound at 10 µM and an isoform-selective probe substrate at approximately Km, in duplicate, for 10 minutes at 37 °C after NADPH addition. Metabolite formation was measured by LC-MS/MS against vehicle (0.1% DMSO) incubations.</w:t>
      </w:r>
    </w:p>
    <w:p>
      <w:r>
        <w:rPr>
          <w:b/>
          <w:sz w:val="18"/>
        </w:rPr>
        <w:t>Probe substrates and controls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183C4C"/>
          </w:tcPr>
          <w:p>
            <w:r>
              <w:rPr>
                <w:b/>
                <w:color w:val="FFFFFF"/>
                <w:sz w:val="18"/>
              </w:rPr>
              <w:t>Isoform</w:t>
            </w:r>
          </w:p>
        </w:tc>
        <w:tc>
          <w:tcPr>
            <w:tcW w:type="dxa" w:w="2436"/>
            <w:shd w:val="clear" w:color="auto" w:fill="183C4C"/>
          </w:tcPr>
          <w:p>
            <w:r>
              <w:rPr>
                <w:b/>
                <w:color w:val="FFFFFF"/>
                <w:sz w:val="18"/>
              </w:rPr>
              <w:t>Probe substrate</w:t>
            </w:r>
          </w:p>
        </w:tc>
        <w:tc>
          <w:tcPr>
            <w:tcW w:type="dxa" w:w="2436"/>
            <w:shd w:val="clear" w:color="auto" w:fill="183C4C"/>
          </w:tcPr>
          <w:p>
            <w:r>
              <w:rPr>
                <w:b/>
                <w:color w:val="FFFFFF"/>
                <w:sz w:val="18"/>
              </w:rPr>
              <w:t>Metabolite</w:t>
            </w:r>
          </w:p>
        </w:tc>
        <w:tc>
          <w:tcPr>
            <w:tcW w:type="dxa" w:w="2436"/>
            <w:shd w:val="clear" w:color="auto" w:fill="183C4C"/>
          </w:tcPr>
          <w:p>
            <w:r>
              <w:rPr>
                <w:b/>
                <w:color w:val="FFFFFF"/>
                <w:sz w:val="18"/>
              </w:rPr>
              <w:t>Positive control</w:t>
            </w:r>
          </w:p>
        </w:tc>
      </w:tr>
      <w:tr>
        <w:tc>
          <w:tcPr>
            <w:tcW w:type="dxa" w:w="2436"/>
          </w:tcPr>
          <w:p>
            <w:r>
              <w:rPr>
                <w:sz w:val="18"/>
              </w:rPr>
              <w:t>CYP1A2</w:t>
            </w:r>
          </w:p>
        </w:tc>
        <w:tc>
          <w:tcPr>
            <w:tcW w:type="dxa" w:w="2436"/>
          </w:tcPr>
          <w:p>
            <w:r>
              <w:rPr>
                <w:sz w:val="18"/>
              </w:rPr>
              <w:t>Phenacetin</w:t>
            </w:r>
          </w:p>
        </w:tc>
        <w:tc>
          <w:tcPr>
            <w:tcW w:type="dxa" w:w="2436"/>
          </w:tcPr>
          <w:p>
            <w:r>
              <w:rPr>
                <w:sz w:val="18"/>
              </w:rPr>
              <w:t>Acetaminophen</w:t>
            </w:r>
          </w:p>
        </w:tc>
        <w:tc>
          <w:tcPr>
            <w:tcW w:type="dxa" w:w="2436"/>
          </w:tcPr>
          <w:p>
            <w:r>
              <w:rPr>
                <w:sz w:val="18"/>
              </w:rPr>
              <w:t>Furafylline</w:t>
            </w:r>
          </w:p>
        </w:tc>
      </w:tr>
      <w:tr>
        <w:tc>
          <w:tcPr>
            <w:tcW w:type="dxa" w:w="2436"/>
          </w:tcPr>
          <w:p>
            <w:r>
              <w:rPr>
                <w:sz w:val="18"/>
              </w:rPr>
              <w:t>CYP2C9</w:t>
            </w:r>
          </w:p>
        </w:tc>
        <w:tc>
          <w:tcPr>
            <w:tcW w:type="dxa" w:w="2436"/>
          </w:tcPr>
          <w:p>
            <w:r>
              <w:rPr>
                <w:sz w:val="18"/>
              </w:rPr>
              <w:t>Diclofenac</w:t>
            </w:r>
          </w:p>
        </w:tc>
        <w:tc>
          <w:tcPr>
            <w:tcW w:type="dxa" w:w="2436"/>
          </w:tcPr>
          <w:p>
            <w:r>
              <w:rPr>
                <w:sz w:val="18"/>
              </w:rPr>
              <w:t>4'-Hydroxydiclofenac</w:t>
            </w:r>
          </w:p>
        </w:tc>
        <w:tc>
          <w:tcPr>
            <w:tcW w:type="dxa" w:w="2436"/>
          </w:tcPr>
          <w:p>
            <w:r>
              <w:rPr>
                <w:sz w:val="18"/>
              </w:rPr>
              <w:t>Sulfaphenazole</w:t>
            </w:r>
          </w:p>
        </w:tc>
      </w:tr>
      <w:tr>
        <w:tc>
          <w:tcPr>
            <w:tcW w:type="dxa" w:w="2436"/>
          </w:tcPr>
          <w:p>
            <w:r>
              <w:rPr>
                <w:sz w:val="18"/>
              </w:rPr>
              <w:t>CYP2C19</w:t>
            </w:r>
          </w:p>
        </w:tc>
        <w:tc>
          <w:tcPr>
            <w:tcW w:type="dxa" w:w="2436"/>
          </w:tcPr>
          <w:p>
            <w:r>
              <w:rPr>
                <w:sz w:val="18"/>
              </w:rPr>
              <w:t>S-Mephenytoin</w:t>
            </w:r>
          </w:p>
        </w:tc>
        <w:tc>
          <w:tcPr>
            <w:tcW w:type="dxa" w:w="2436"/>
          </w:tcPr>
          <w:p>
            <w:r>
              <w:rPr>
                <w:sz w:val="18"/>
              </w:rPr>
              <w:t>4'-Hydroxymephenytoin</w:t>
            </w:r>
          </w:p>
        </w:tc>
        <w:tc>
          <w:tcPr>
            <w:tcW w:type="dxa" w:w="2436"/>
          </w:tcPr>
          <w:p>
            <w:r>
              <w:rPr>
                <w:sz w:val="18"/>
              </w:rPr>
              <w:t>Ticlopidine</w:t>
            </w:r>
          </w:p>
        </w:tc>
      </w:tr>
      <w:tr>
        <w:tc>
          <w:tcPr>
            <w:tcW w:type="dxa" w:w="2436"/>
          </w:tcPr>
          <w:p>
            <w:r>
              <w:rPr>
                <w:sz w:val="18"/>
              </w:rPr>
              <w:t>CYP2D6</w:t>
            </w:r>
          </w:p>
        </w:tc>
        <w:tc>
          <w:tcPr>
            <w:tcW w:type="dxa" w:w="2436"/>
          </w:tcPr>
          <w:p>
            <w:r>
              <w:rPr>
                <w:sz w:val="18"/>
              </w:rPr>
              <w:t>Dextromethorphan</w:t>
            </w:r>
          </w:p>
        </w:tc>
        <w:tc>
          <w:tcPr>
            <w:tcW w:type="dxa" w:w="2436"/>
          </w:tcPr>
          <w:p>
            <w:r>
              <w:rPr>
                <w:sz w:val="18"/>
              </w:rPr>
              <w:t>Dextrorphan</w:t>
            </w:r>
          </w:p>
        </w:tc>
        <w:tc>
          <w:tcPr>
            <w:tcW w:type="dxa" w:w="2436"/>
          </w:tcPr>
          <w:p>
            <w:r>
              <w:rPr>
                <w:sz w:val="18"/>
              </w:rPr>
              <w:t>Quinidine</w:t>
            </w:r>
          </w:p>
        </w:tc>
      </w:tr>
      <w:tr>
        <w:tc>
          <w:tcPr>
            <w:tcW w:type="dxa" w:w="2436"/>
          </w:tcPr>
          <w:p>
            <w:r>
              <w:rPr>
                <w:sz w:val="18"/>
              </w:rPr>
              <w:t>CYP3A4</w:t>
            </w:r>
          </w:p>
        </w:tc>
        <w:tc>
          <w:tcPr>
            <w:tcW w:type="dxa" w:w="2436"/>
          </w:tcPr>
          <w:p>
            <w:r>
              <w:rPr>
                <w:sz w:val="18"/>
              </w:rPr>
              <w:t>Midazolam</w:t>
            </w:r>
          </w:p>
        </w:tc>
        <w:tc>
          <w:tcPr>
            <w:tcW w:type="dxa" w:w="2436"/>
          </w:tcPr>
          <w:p>
            <w:r>
              <w:rPr>
                <w:sz w:val="18"/>
              </w:rPr>
              <w:t>1'-Hydroxymidazolam</w:t>
            </w:r>
          </w:p>
        </w:tc>
        <w:tc>
          <w:tcPr>
            <w:tcW w:type="dxa" w:w="2436"/>
          </w:tcPr>
          <w:p>
            <w:r>
              <w:rPr>
                <w:sz w:val="18"/>
              </w:rPr>
              <w:t>Ketoconazole</w:t>
            </w:r>
          </w:p>
        </w:tc>
      </w:tr>
    </w:tbl>
    <w:p/>
    <w:p>
      <w:r>
        <w:t>Results are reported as mean percent inhibition relative to vehicle. Values above 50% at 10 µM are flagged for follow-up; small negative values indicate no inhibition.</w:t>
      </w:r>
    </w:p>
    <w:p>
      <w:pPr>
        <w:pStyle w:val="Heading2"/>
      </w:pPr>
      <w:r>
        <w:t>CYP3A4 inhibition curves</w:t>
      </w:r>
    </w:p>
    <w:p>
      <w:r>
        <w:t>Compounds were run in a 7-point concentration response (top concentration 50 µM, 3-fold dilutions) against CYP3A4 with midazolam or testosterone as probe; ketoconazole was the positive control.</w:t>
      </w:r>
    </w:p>
    <w:p>
      <w:pPr>
        <w:pStyle w:val="Heading1"/>
      </w:pPr>
      <w:r>
        <w:t>4 Deliverables</w:t>
      </w:r>
    </w:p>
    <w:p>
      <w:pPr>
        <w:pStyle w:val="ListBullet"/>
      </w:pPr>
      <w:r>
        <w:t>Results workbook (assay worksheets with compound-level data and a study summary sheet)</w:t>
      </w:r>
    </w:p>
    <w:p>
      <w:pPr>
        <w:pStyle w:val="ListBullet"/>
      </w:pPr>
      <w:r>
        <w:t>Final report (PDF) with methods, control results and interpretation</w:t>
      </w:r>
    </w:p>
    <w:p>
      <w:pPr>
        <w:pStyle w:val="ListBullet"/>
      </w:pPr>
      <w:r>
        <w:t>Raw traces and instrument files on request</w:t>
      </w:r>
    </w:p>
    <w:p>
      <w:pPr>
        <w:pStyle w:val="Heading1"/>
      </w:pPr>
      <w:r>
        <w:t>5 Timeline</w:t>
      </w:r>
    </w:p>
    <w:p>
      <w:r>
        <w:t>3-week turnaround (15 business days) from receipt of test articles. Work starts once compounds and a purchase order are received; we will confirm the start date on receipt.</w:t>
      </w:r>
    </w:p>
    <w:p>
      <w:pPr>
        <w:pStyle w:val="Heading1"/>
      </w:pPr>
      <w:r>
        <w:t>6 Price</w:t>
      </w:r>
    </w:p>
    <w:p>
      <w:r>
        <w:rPr>
          <w:b/>
          <w:sz w:val="18"/>
        </w:rPr>
        <w:t>Fixed price, USD</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183C4C"/>
          </w:tcPr>
          <w:p>
            <w:r>
              <w:rPr>
                <w:b/>
                <w:color w:val="FFFFFF"/>
                <w:sz w:val="18"/>
              </w:rPr>
              <w:t>Item</w:t>
            </w:r>
          </w:p>
        </w:tc>
        <w:tc>
          <w:tcPr>
            <w:tcW w:type="dxa" w:w="2436"/>
            <w:shd w:val="clear" w:color="auto" w:fill="183C4C"/>
          </w:tcPr>
          <w:p>
            <w:r>
              <w:rPr>
                <w:b/>
                <w:color w:val="FFFFFF"/>
                <w:sz w:val="18"/>
              </w:rPr>
              <w:t>Compounds</w:t>
            </w:r>
          </w:p>
        </w:tc>
        <w:tc>
          <w:tcPr>
            <w:tcW w:type="dxa" w:w="2436"/>
            <w:shd w:val="clear" w:color="auto" w:fill="183C4C"/>
          </w:tcPr>
          <w:p>
            <w:r>
              <w:rPr>
                <w:b/>
                <w:color w:val="FFFFFF"/>
                <w:sz w:val="18"/>
              </w:rPr>
              <w:t>Unit price</w:t>
            </w:r>
          </w:p>
        </w:tc>
        <w:tc>
          <w:tcPr>
            <w:tcW w:type="dxa" w:w="2436"/>
            <w:shd w:val="clear" w:color="auto" w:fill="183C4C"/>
          </w:tcPr>
          <w:p>
            <w:r>
              <w:rPr>
                <w:b/>
                <w:color w:val="FFFFFF"/>
                <w:sz w:val="18"/>
              </w:rPr>
              <w:t>Amount</w:t>
            </w:r>
          </w:p>
        </w:tc>
      </w:tr>
      <w:tr>
        <w:tc>
          <w:tcPr>
            <w:tcW w:type="dxa" w:w="2436"/>
          </w:tcPr>
          <w:p>
            <w:r>
              <w:rPr>
                <w:sz w:val="18"/>
              </w:rPr>
              <w:t>IKr inhibition</w:t>
            </w:r>
          </w:p>
        </w:tc>
        <w:tc>
          <w:tcPr>
            <w:tcW w:type="dxa" w:w="2436"/>
          </w:tcPr>
          <w:p>
            <w:r>
              <w:rPr>
                <w:sz w:val="18"/>
              </w:rPr>
              <w:t>40</w:t>
            </w:r>
          </w:p>
        </w:tc>
        <w:tc>
          <w:tcPr>
            <w:tcW w:type="dxa" w:w="2436"/>
          </w:tcPr>
          <w:p>
            <w:r>
              <w:rPr>
                <w:sz w:val="18"/>
              </w:rPr>
              <w:t>$360</w:t>
            </w:r>
          </w:p>
        </w:tc>
        <w:tc>
          <w:tcPr>
            <w:tcW w:type="dxa" w:w="2436"/>
          </w:tcPr>
          <w:p>
            <w:r>
              <w:rPr>
                <w:sz w:val="18"/>
              </w:rPr>
              <w:t>$14,400</w:t>
            </w:r>
          </w:p>
        </w:tc>
      </w:tr>
      <w:tr>
        <w:tc>
          <w:tcPr>
            <w:tcW w:type="dxa" w:w="2436"/>
          </w:tcPr>
          <w:p>
            <w:r>
              <w:rPr>
                <w:sz w:val="18"/>
              </w:rPr>
              <w:t>Five-isoform DDI screen</w:t>
            </w:r>
          </w:p>
        </w:tc>
        <w:tc>
          <w:tcPr>
            <w:tcW w:type="dxa" w:w="2436"/>
          </w:tcPr>
          <w:p>
            <w:r>
              <w:rPr>
                <w:sz w:val="18"/>
              </w:rPr>
              <w:t>40</w:t>
            </w:r>
          </w:p>
        </w:tc>
        <w:tc>
          <w:tcPr>
            <w:tcW w:type="dxa" w:w="2436"/>
          </w:tcPr>
          <w:p>
            <w:r>
              <w:rPr>
                <w:sz w:val="18"/>
              </w:rPr>
              <w:t>$200</w:t>
            </w:r>
          </w:p>
        </w:tc>
        <w:tc>
          <w:tcPr>
            <w:tcW w:type="dxa" w:w="2436"/>
          </w:tcPr>
          <w:p>
            <w:r>
              <w:rPr>
                <w:sz w:val="18"/>
              </w:rPr>
              <w:t>$8,000</w:t>
            </w:r>
          </w:p>
        </w:tc>
      </w:tr>
      <w:tr>
        <w:tc>
          <w:tcPr>
            <w:tcW w:type="dxa" w:w="2436"/>
          </w:tcPr>
          <w:p>
            <w:r>
              <w:rPr>
                <w:sz w:val="18"/>
              </w:rPr>
              <w:t>CYP3A4 inhibition curves</w:t>
            </w:r>
          </w:p>
        </w:tc>
        <w:tc>
          <w:tcPr>
            <w:tcW w:type="dxa" w:w="2436"/>
          </w:tcPr>
          <w:p>
            <w:r>
              <w:rPr>
                <w:sz w:val="18"/>
              </w:rPr>
              <w:t>40</w:t>
            </w:r>
          </w:p>
        </w:tc>
        <w:tc>
          <w:tcPr>
            <w:tcW w:type="dxa" w:w="2436"/>
          </w:tcPr>
          <w:p>
            <w:r>
              <w:rPr>
                <w:sz w:val="18"/>
              </w:rPr>
              <w:t>$57.50</w:t>
            </w:r>
          </w:p>
        </w:tc>
        <w:tc>
          <w:tcPr>
            <w:tcW w:type="dxa" w:w="2436"/>
          </w:tcPr>
          <w:p>
            <w:r>
              <w:rPr>
                <w:sz w:val="18"/>
              </w:rPr>
              <w:t>$2,300</w:t>
            </w:r>
          </w:p>
        </w:tc>
      </w:tr>
      <w:tr>
        <w:tc>
          <w:tcPr>
            <w:tcW w:type="dxa" w:w="2436"/>
          </w:tcPr>
          <w:p>
            <w:r>
              <w:rPr>
                <w:sz w:val="18"/>
              </w:rPr>
              <w:t>Total</w:t>
            </w:r>
          </w:p>
        </w:tc>
        <w:tc>
          <w:tcPr>
            <w:tcW w:type="dxa" w:w="2436"/>
          </w:tcPr>
          <w:p>
            <w:r>
              <w:rPr>
                <w:sz w:val="18"/>
              </w:rPr>
            </w:r>
          </w:p>
        </w:tc>
        <w:tc>
          <w:tcPr>
            <w:tcW w:type="dxa" w:w="2436"/>
          </w:tcPr>
          <w:p>
            <w:r>
              <w:rPr>
                <w:sz w:val="18"/>
              </w:rPr>
            </w:r>
          </w:p>
        </w:tc>
        <w:tc>
          <w:tcPr>
            <w:tcW w:type="dxa" w:w="2436"/>
          </w:tcPr>
          <w:p>
            <w:r>
              <w:rPr>
                <w:sz w:val="18"/>
              </w:rPr>
              <w:t>$24,700</w:t>
            </w:r>
          </w:p>
        </w:tc>
      </w:tr>
    </w:tbl>
    <w:p/>
    <w:p>
      <w:r>
        <w:t>Total price: $24,700 for 40 compounds.</w:t>
      </w:r>
    </w:p>
    <w:p>
      <w:pPr>
        <w:pStyle w:val="Heading1"/>
      </w:pPr>
      <w:r>
        <w:t>7 Terms</w:t>
      </w:r>
    </w:p>
    <w:p>
      <w:pPr>
        <w:pStyle w:val="ListBullet"/>
      </w:pPr>
      <w:r>
        <w:t>Quotation valid for 90 days from the date above</w:t>
      </w:r>
    </w:p>
    <w:p>
      <w:pPr>
        <w:pStyle w:val="ListBullet"/>
      </w:pPr>
      <w:r>
        <w:t>Invoiced in full on issue of the final report; payment within 30 days</w:t>
      </w:r>
    </w:p>
    <w:p>
      <w:pPr>
        <w:pStyle w:val="ListBullet"/>
      </w:pPr>
      <w:r>
        <w:t>Unused compound returned or destroyed at the client's instruction</w:t>
      </w:r>
    </w:p>
    <w:p>
      <w:pPr>
        <w:pStyle w:val="ListBullet"/>
      </w:pPr>
      <w:r>
        <w:t>Data and samples retained for 5 years</w:t>
      </w:r>
    </w:p>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t>Name</w:t>
            </w:r>
          </w:p>
        </w:tc>
        <w:tc>
          <w:tcPr>
            <w:tcW w:type="dxa" w:w="2436"/>
          </w:tcPr>
          <w:p>
            <w:r>
              <w:t>Role</w:t>
            </w:r>
          </w:p>
        </w:tc>
        <w:tc>
          <w:tcPr>
            <w:tcW w:type="dxa" w:w="2436"/>
          </w:tcPr>
          <w:p>
            <w:r>
              <w:t>Signature</w:t>
            </w:r>
          </w:p>
        </w:tc>
        <w:tc>
          <w:tcPr>
            <w:tcW w:type="dxa" w:w="2436"/>
          </w:tcPr>
          <w:p>
            <w:r>
              <w:t>Date</w:t>
            </w:r>
          </w:p>
        </w:tc>
      </w:tr>
      <w:tr>
        <w:tc>
          <w:tcPr>
            <w:tcW w:type="dxa" w:w="2436"/>
          </w:tcPr>
          <w:p>
            <w:r>
              <w:t>Priya Nandekuri</w:t>
            </w:r>
          </w:p>
        </w:tc>
        <w:tc>
          <w:tcPr>
            <w:tcW w:type="dxa" w:w="2436"/>
          </w:tcPr>
          <w:p>
            <w:r>
              <w:t>DMPK Lead</w:t>
            </w:r>
          </w:p>
        </w:tc>
        <w:tc>
          <w:tcPr>
            <w:tcW w:type="dxa" w:w="2436"/>
          </w:tcPr>
          <w:p>
            <w:r>
              <w:rPr>
                <w:rFonts w:ascii="Georgia" w:hAnsi="Georgia"/>
                <w:i/>
              </w:rPr>
              <w:t>Nandekuri</w:t>
            </w:r>
          </w:p>
        </w:tc>
        <w:tc>
          <w:tcPr>
            <w:tcW w:type="dxa" w:w="2436"/>
          </w:tcPr>
          <w:p>
            <w:r>
              <w:t>November 11, 2024</w:t>
            </w:r>
          </w:p>
        </w:tc>
      </w:tr>
    </w:tbl>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Merrivoss Bioanalysis Inc, a Tarnovell company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MV-2024-358 |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C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C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83C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83C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Tarnovell Bioscience Group Ltd</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MV-2024-358</dc:title>
  <dc:subject>TP04 inflammatory kinase follow-up: 40-compound cardiac and CYP screen</dc:subject>
  <dc:creator>Priya Nandekuri</dc:creator>
  <cp:keywords/>
  <dc:description>generated by python-docx</dc:description>
  <cp:lastModifiedBy>Priya Nandekuri</cp:lastModifiedBy>
  <cp:revision>14</cp:revision>
  <dcterms:created xsi:type="dcterms:W3CDTF">2024-11-11T16:46:20Z</dcterms:created>
  <dcterms:modified xsi:type="dcterms:W3CDTF">2024-11-12T12:01:27Z</dcterms:modified>
  <cp:category/>
</cp:coreProperties>
</file>