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315E61"/>
          <w:sz w:val="18"/>
        </w:rPr>
        <w:t>Durnesswick Laboratories Inc, a Tarnovell company</w:t>
      </w:r>
    </w:p>
    <w:p>
      <w:pPr>
        <w:pStyle w:val="Title"/>
      </w:pPr>
      <w:r>
        <w:t>Pilot Lot Handoff: Required Fields for Recipe Cards</w:t>
      </w:r>
    </w:p>
    <w:p>
      <w:r>
        <w:rPr>
          <w:i/>
          <w:sz w:val="26"/>
        </w:rPr>
        <w:t>Development note, approved before the scale gate</w:t>
      </w:r>
    </w:p>
    <w:p>
      <w:r>
        <w:t>Revision A</w:t>
      </w:r>
    </w:p>
    <w:p>
      <w:r>
        <w:t>Date: 09/19/2024</w:t>
      </w:r>
    </w:p>
    <w:p>
      <w:pPr>
        <w:pStyle w:val="Heading1"/>
        <w:keepNext/>
      </w:pPr>
      <w:r>
        <w:t>1 Purpose and scope</w:t>
      </w:r>
    </w:p>
    <w:p>
      <w:r>
        <w:t>This note defines the fields that must travel with a pilot lot from development to the scale team. The aim is that the scale gate review works from the same information the bench used, rather than from a verbal account of it.</w:t>
      </w:r>
    </w:p>
    <w:p>
      <w:r>
        <w:t>The note applies to pilot lots made from a locked recipe card. Exploratory screens are not handed off this way. Their results stay on the bench sheets and are cited from there, so a screen is never mistaken for a locked process.</w:t>
      </w:r>
    </w:p>
    <w:p>
      <w:pPr>
        <w:pStyle w:val="Heading1"/>
        <w:keepNext/>
      </w:pPr>
      <w:r>
        <w:t>2 Required handoff fields</w:t>
      </w:r>
    </w:p>
    <w:p>
      <w:r>
        <w:t>Each field must contain relevant information or a justified not-applicable entry. For example, a true solution has no dispersed-particle size to report. Unexplained blanks are returned before the scale team accepts the handoff.</w:t>
      </w:r>
    </w:p>
    <w:p>
      <w:pPr>
        <w:keepNext/>
      </w:pPr>
      <w:r>
        <w:rPr>
          <w:b/>
          <w:sz w:val="18"/>
        </w:rPr>
        <w:t>Table 1 Handoff fields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315E61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249"/>
            <w:shd w:val="clear" w:color="auto" w:fill="315E61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What to record</w:t>
            </w:r>
          </w:p>
        </w:tc>
        <w:tc>
          <w:tcPr>
            <w:tcW w:type="dxa" w:w="3249"/>
            <w:shd w:val="clear" w:color="auto" w:fill="315E61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Owner</w:t>
            </w:r>
          </w:p>
        </w:tc>
      </w:tr>
      <w:tr>
        <w:tc>
          <w:tcPr>
            <w:tcW w:type="dxa" w:w="3249"/>
          </w:tcPr>
          <w:p>
            <w:pPr>
              <w:keepNext/>
            </w:pPr>
            <w:r>
              <w:rPr>
                <w:sz w:val="18"/>
              </w:rPr>
              <w:t>Recipe card</w:t>
            </w:r>
          </w:p>
        </w:tc>
        <w:tc>
          <w:tcPr>
            <w:tcW w:type="dxa" w:w="3249"/>
          </w:tcPr>
          <w:p>
            <w:pPr>
              <w:keepNext/>
            </w:pPr>
            <w:r>
              <w:rPr>
                <w:sz w:val="18"/>
              </w:rPr>
              <w:t>Card number, revision letter and issue date</w:t>
            </w:r>
          </w:p>
        </w:tc>
        <w:tc>
          <w:tcPr>
            <w:tcW w:type="dxa" w:w="3249"/>
          </w:tcPr>
          <w:p>
            <w:pPr>
              <w:keepNext/>
            </w:pPr>
            <w:r>
              <w:rPr>
                <w:sz w:val="18"/>
              </w:rPr>
              <w:t>Formulation scientist</w:t>
            </w:r>
          </w:p>
        </w:tc>
      </w:tr>
      <w:tr>
        <w:tc>
          <w:tcPr>
            <w:tcW w:type="dxa" w:w="3249"/>
          </w:tcPr>
          <w:p>
            <w:pPr>
              <w:keepNext/>
            </w:pPr>
            <w:r>
              <w:rPr>
                <w:sz w:val="18"/>
              </w:rPr>
              <w:t>Concentrations</w:t>
            </w:r>
          </w:p>
        </w:tc>
        <w:tc>
          <w:tcPr>
            <w:tcW w:type="dxa" w:w="3249"/>
          </w:tcPr>
          <w:p>
            <w:pPr>
              <w:keepNext/>
            </w:pPr>
            <w:r>
              <w:rPr>
                <w:sz w:val="18"/>
              </w:rPr>
              <w:t>mg/mL for each stock and for the final formulation</w:t>
            </w:r>
          </w:p>
        </w:tc>
        <w:tc>
          <w:tcPr>
            <w:tcW w:type="dxa" w:w="3249"/>
          </w:tcPr>
          <w:p>
            <w:pPr>
              <w:keepNext/>
            </w:pPr>
            <w:r>
              <w:rPr>
                <w:sz w:val="18"/>
              </w:rPr>
              <w:t>Formulation scientist</w:t>
            </w:r>
          </w:p>
        </w:tc>
      </w:tr>
      <w:tr>
        <w:tc>
          <w:tcPr>
            <w:tcW w:type="dxa" w:w="3249"/>
          </w:tcPr>
          <w:p>
            <w:pPr>
              <w:keepNext/>
            </w:pPr>
            <w:r>
              <w:rPr>
                <w:sz w:val="18"/>
              </w:rPr>
              <w:t>Loading</w:t>
            </w:r>
          </w:p>
        </w:tc>
        <w:tc>
          <w:tcPr>
            <w:tcW w:type="dxa" w:w="3249"/>
          </w:tcPr>
          <w:p>
            <w:pPr>
              <w:keepNext/>
            </w:pPr>
            <w:r>
              <w:rPr>
                <w:sz w:val="18"/>
              </w:rPr>
              <w:t>Weight percent for each component, with the basis stated</w:t>
            </w:r>
          </w:p>
        </w:tc>
        <w:tc>
          <w:tcPr>
            <w:tcW w:type="dxa" w:w="3249"/>
          </w:tcPr>
          <w:p>
            <w:pPr>
              <w:keepNext/>
            </w:pPr>
            <w:r>
              <w:rPr>
                <w:sz w:val="18"/>
              </w:rPr>
              <w:t>Pre-formulation scientist</w:t>
            </w:r>
          </w:p>
        </w:tc>
      </w:tr>
      <w:tr>
        <w:tc>
          <w:tcPr>
            <w:tcW w:type="dxa" w:w="3249"/>
          </w:tcPr>
          <w:p>
            <w:pPr>
              <w:keepNext/>
            </w:pPr>
            <w:r>
              <w:rPr>
                <w:sz w:val="18"/>
              </w:rPr>
              <w:t>Dose assumption</w:t>
            </w:r>
          </w:p>
        </w:tc>
        <w:tc>
          <w:tcPr>
            <w:tcW w:type="dxa" w:w="3249"/>
          </w:tcPr>
          <w:p>
            <w:pPr>
              <w:keepNext/>
            </w:pPr>
            <w:r>
              <w:rPr>
                <w:sz w:val="18"/>
              </w:rPr>
              <w:t>Dose level, its basis per kg or per unit, and the source of the assumption</w:t>
            </w:r>
          </w:p>
        </w:tc>
        <w:tc>
          <w:tcPr>
            <w:tcW w:type="dxa" w:w="3249"/>
          </w:tcPr>
          <w:p>
            <w:pPr>
              <w:keepNext/>
            </w:pPr>
            <w:r>
              <w:rPr>
                <w:sz w:val="18"/>
              </w:rPr>
              <w:t>Formulation development lead</w:t>
            </w:r>
          </w:p>
        </w:tc>
      </w:tr>
      <w:tr>
        <w:tc>
          <w:tcPr>
            <w:tcW w:type="dxa" w:w="3249"/>
          </w:tcPr>
          <w:p>
            <w:pPr>
              <w:keepNext/>
            </w:pPr>
            <w:r>
              <w:rPr>
                <w:sz w:val="18"/>
              </w:rPr>
              <w:t>Particle size</w:t>
            </w:r>
          </w:p>
        </w:tc>
        <w:tc>
          <w:tcPr>
            <w:tcW w:type="dxa" w:w="3249"/>
          </w:tcPr>
          <w:p>
            <w:pPr>
              <w:keepNext/>
            </w:pPr>
            <w:r>
              <w:rPr>
                <w:sz w:val="18"/>
              </w:rPr>
              <w:t>Applicable size percentiles in µm; span is dimensionless. State distribution basis, method and date, or justify not applicable.</w:t>
            </w:r>
          </w:p>
        </w:tc>
        <w:tc>
          <w:tcPr>
            <w:tcW w:type="dxa" w:w="3249"/>
          </w:tcPr>
          <w:p>
            <w:pPr>
              <w:keepNext/>
            </w:pPr>
            <w:r>
              <w:rPr>
                <w:sz w:val="18"/>
              </w:rPr>
              <w:t>Pre-formulation scientist</w:t>
            </w:r>
          </w:p>
        </w:tc>
      </w:tr>
      <w:tr>
        <w:tc>
          <w:tcPr>
            <w:tcW w:type="dxa" w:w="3249"/>
          </w:tcPr>
          <w:p>
            <w:pPr>
              <w:keepNext/>
            </w:pPr>
            <w:r>
              <w:rPr>
                <w:sz w:val="18"/>
              </w:rPr>
              <w:t>Retained material</w:t>
            </w:r>
          </w:p>
        </w:tc>
        <w:tc>
          <w:tcPr>
            <w:tcW w:type="dxa" w:w="3249"/>
          </w:tcPr>
          <w:p>
            <w:pPr>
              <w:keepNext/>
            </w:pPr>
            <w:r>
              <w:rPr>
                <w:sz w:val="18"/>
              </w:rPr>
              <w:t>Storage location as recorded by Sample Management</w:t>
            </w:r>
          </w:p>
        </w:tc>
        <w:tc>
          <w:tcPr>
            <w:tcW w:type="dxa" w:w="3249"/>
          </w:tcPr>
          <w:p>
            <w:pPr>
              <w:keepNext/>
            </w:pPr>
            <w:r>
              <w:rPr>
                <w:sz w:val="18"/>
              </w:rPr>
              <w:t>Sample management coordinator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  <w:t>Open risks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  <w:t>Each open manufacturability risk, its owner and the date it must close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  <w:t>CMC lead</w:t>
            </w:r>
          </w:p>
        </w:tc>
      </w:tr>
    </w:tbl>
    <w:p/>
    <w:p>
      <w:pPr>
        <w:pStyle w:val="Heading1"/>
        <w:keepNext/>
      </w:pPr>
      <w:r>
        <w:t>3 Dose and loading assumptions</w:t>
      </w:r>
    </w:p>
    <w:p>
      <w:r>
        <w:t>Loading is always given in weight percent with the basis stated, for example weight of active per total weight of the final blend. Concentrations in mg/mL are given separately and are never used in place of a loading.</w:t>
      </w:r>
    </w:p>
    <w:p>
      <w:r>
        <w:t>A dose assumption is a design basis, not a tested outcome. The handoff must say so. An assumption written as though it were a result will be returned, because the scale team will otherwise build the lot plan on it.</w:t>
      </w:r>
    </w:p>
    <w:p>
      <w:r>
        <w:rPr>
          <w:i/>
          <w:sz w:val="18"/>
        </w:rPr>
        <w:t>Higher active loading increases active content per unit mass of blend. Effects on viscosity, flow, mixing and dose uniformity depend on formulation and process. The handoff states observed trade-offs and unresolved scale risks rather than assuming the same effect for every formulation.</w:t>
      </w:r>
    </w:p>
    <w:p>
      <w:pPr>
        <w:pStyle w:val="Heading1"/>
        <w:keepNext/>
      </w:pPr>
      <w:r>
        <w:t>4 Particle size</w:t>
      </w:r>
    </w:p>
    <w:p>
      <w:r>
        <w:t>Particle-size percentiles are given in µm; distribution span is dimensionless. State method, distribution basis and wet or dry preparation. If measurements exist before and after blending, cite both source records. A difference alone does not establish which step caused it.</w:t>
      </w:r>
    </w:p>
    <w:p>
      <w:r>
        <w:t>Milling conditions are recorded on the recipe card and not repeated in the note. The note records only the outcome that the scale team needs to match.</w:t>
      </w:r>
    </w:p>
    <w:p>
      <w:pPr>
        <w:pStyle w:val="Heading1"/>
        <w:keepNext/>
      </w:pPr>
      <w:r>
        <w:t>5 Manufacturability risks</w:t>
      </w:r>
    </w:p>
    <w:p>
      <w:r>
        <w:t>The handoff identifies actual open risks for the pilot lot, with an owner and disposition before the scale gate. The following are prompts for review, not findings for a particular lot.</w:t>
      </w:r>
    </w:p>
    <w:p>
      <w:pPr>
        <w:pStyle w:val="ListBullet"/>
        <w:keepNext/>
        <w:keepLines/>
      </w:pPr>
      <w:r>
        <w:t>Has blend flow been assessed under intended pilot-scale conditions?</w:t>
      </w:r>
    </w:p>
    <w:p>
      <w:pPr>
        <w:pStyle w:val="ListBullet"/>
        <w:keepNext/>
        <w:keepLines/>
      </w:pPr>
      <w:r>
        <w:t>Do excipient moisture sensitivity and storage requirements need further control?</w:t>
      </w:r>
    </w:p>
    <w:p>
      <w:pPr>
        <w:pStyle w:val="ListBullet"/>
        <w:keepNext/>
        <w:keepLines/>
      </w:pPr>
      <w:r>
        <w:t>Are milling and particle-size results reproducible under the intended process?</w:t>
      </w:r>
    </w:p>
    <w:p>
      <w:pPr>
        <w:pStyle w:val="ListBullet"/>
        <w:keepLines/>
      </w:pPr>
      <w:r>
        <w:t>Is the dose assumption supported by an identified source, and what remains unverified?</w:t>
      </w:r>
    </w:p>
    <w:p>
      <w:r>
        <w:t>Risks that are accepted rather than closed are signed off by the formulation development lead, with the reason written next to the risk.</w:t>
      </w:r>
    </w:p>
    <w:p>
      <w:pPr>
        <w:pStyle w:val="Heading1"/>
        <w:keepNext/>
      </w:pPr>
      <w:r>
        <w:t>6 Status and use</w:t>
      </w:r>
    </w:p>
    <w:p>
      <w:r>
        <w:t>This note is approved for use from the date of issue. The local master applies during the transition period; recipe-card and accession references retain their local identities.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t>Name</w:t>
            </w:r>
          </w:p>
        </w:tc>
        <w:tc>
          <w:tcPr>
            <w:tcW w:type="dxa" w:w="2436"/>
          </w:tcPr>
          <w:p>
            <w:r>
              <w:t>Role</w:t>
            </w:r>
          </w:p>
        </w:tc>
        <w:tc>
          <w:tcPr>
            <w:tcW w:type="dxa" w:w="2436"/>
          </w:tcPr>
          <w:p>
            <w:r>
              <w:t>Signature</w:t>
            </w:r>
          </w:p>
        </w:tc>
        <w:tc>
          <w:tcPr>
            <w:tcW w:type="dxa" w:w="2436"/>
          </w:tcPr>
          <w:p>
            <w:r>
              <w:t>Date</w:t>
            </w:r>
          </w:p>
        </w:tc>
      </w:tr>
      <w:tr>
        <w:tc>
          <w:tcPr>
            <w:tcW w:type="dxa" w:w="2436"/>
          </w:tcPr>
          <w:p>
            <w:r>
              <w:t>Lena Patel</w:t>
            </w:r>
          </w:p>
        </w:tc>
        <w:tc>
          <w:tcPr>
            <w:tcW w:type="dxa" w:w="2436"/>
          </w:tcPr>
          <w:p>
            <w:r>
              <w:t>CMC Technical Transfer Manager</w:t>
            </w:r>
          </w:p>
        </w:tc>
        <w:tc>
          <w:tcPr>
            <w:tcW w:type="dxa" w:w="2436"/>
          </w:tcPr>
          <w:p>
            <w:r>
              <w:drawing>
                <wp:inline xmlns:a="http://schemas.openxmlformats.org/drawingml/2006/main" xmlns:pic="http://schemas.openxmlformats.org/drawingml/2006/picture">
                  <wp:extent cx="802033" cy="32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033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36"/>
          </w:tcPr>
          <w:p>
            <w:r>
              <w:t>2024-09-19</w:t>
            </w:r>
          </w:p>
        </w:tc>
      </w:tr>
      <w:tr>
        <w:tc>
          <w:tcPr>
            <w:tcW w:type="dxa" w:w="2436"/>
          </w:tcPr>
          <w:p>
            <w:r>
              <w:t>Julia Carver</w:t>
            </w:r>
          </w:p>
        </w:tc>
        <w:tc>
          <w:tcPr>
            <w:tcW w:type="dxa" w:w="2436"/>
          </w:tcPr>
          <w:p>
            <w:r>
              <w:t>Formulation Development Lead</w:t>
            </w:r>
          </w:p>
        </w:tc>
        <w:tc>
          <w:tcPr>
            <w:tcW w:type="dxa" w:w="2436"/>
          </w:tcPr>
          <w:p>
            <w:r>
              <w:drawing>
                <wp:inline xmlns:a="http://schemas.openxmlformats.org/drawingml/2006/main" xmlns:pic="http://schemas.openxmlformats.org/drawingml/2006/picture">
                  <wp:extent cx="883161" cy="324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3161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36"/>
          </w:tcPr>
          <w:p>
            <w:r>
              <w:t>2024-09-19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646464"/>
        <w:sz w:val="16"/>
      </w:rPr>
      <w:t>Durnesswick Laboratories Inc, a Tarnovell company | Confidential</w:t>
    </w:r>
    <w:r>
      <w:t xml:space="preserve">    Page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46464"/>
        <w:sz w:val="16"/>
      </w:rPr>
      <w:t>Durnesswick Laboratories Inc, a Tarnovell company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15E61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15E6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15E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315E61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LinksUpToDate>false</LinksUpToDate>
  <CharactersWithSpaces>0</CharactersWithSpaces>
  <SharedDoc>false</SharedDoc>
  <HyperlinkBase/>
  <HyperlinksChanged>false</HyperlinksChanged>
  <Company>Durnesswick Laboratories Inc</Company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Pilot lot handoff development note</dc:title>
  <dc:subject/>
  <dc:creator>Lena Patel</dc:creator>
  <cp:keywords/>
  <dc:description>generated by python-docx</dc:description>
  <cp:lastModifiedBy>Lena Patel</cp:lastModifiedBy>
  <cp:revision>8</cp:revision>
  <dcterms:created xsi:type="dcterms:W3CDTF">2024-09-19T09:37:00Z</dcterms:created>
  <dcterms:modified xsi:type="dcterms:W3CDTF">2024-09-19T15:24:00Z</dcterms:modified>
  <cp:category/>
</cp:coreProperties>
</file>