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3C4C"/>
          <w:sz w:val="18"/>
        </w:rPr>
        <w:t>Westravelle Analytical Ltd, a Tarnovell company</w:t>
      </w:r>
    </w:p>
    <w:p>
      <w:pPr>
        <w:pStyle w:val="Title"/>
      </w:pPr>
      <w:r>
        <w:t>HPLC method qualification protocol template</w:t>
      </w:r>
    </w:p>
    <w:p>
      <w:r>
        <w:rPr>
          <w:i/>
          <w:sz w:val="26"/>
        </w:rPr>
        <w:t>Revision 06 | DRAFT | Unfilled working template</w:t>
      </w:r>
    </w:p>
    <w:p>
      <w:r>
        <w:t>Template date: 14 Aug 2025</w:t>
      </w:r>
    </w:p>
    <w:p>
      <w:r>
        <w:t>Template owner: Saira Mahmood</w:t>
      </w:r>
    </w:p>
    <w:p>
      <w:r>
        <w:t>Protocol identifier: [TBC]</w:t>
      </w:r>
    </w:p>
    <w:p>
      <w:pPr>
        <w:pStyle w:val="Heading1"/>
        <w:keepNext/>
      </w:pPr>
      <w:r>
        <w:t>1 Protocol identity</w:t>
      </w:r>
    </w:p>
    <w:p>
      <w:pPr>
        <w:keepNext/>
      </w:pPr>
      <w:r>
        <w:rPr>
          <w:b/>
          <w:sz w:val="18"/>
        </w:rPr>
        <w:t>Protocol cover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6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Protocol identifier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Client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Method title / revision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Product / dosage form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Accession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Stability lot / batch set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Storage condition (°C / RH)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Protocol date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Analyst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Independent checker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</w:tbl>
    <w:p/>
    <w:p>
      <w:r>
        <w:t>Intended use: [TBC]</w:t>
      </w:r>
    </w:p>
    <w:p>
      <w:r>
        <w:t>Qualification scope: [TBC]</w:t>
      </w:r>
    </w:p>
    <w:p>
      <w:r>
        <w:br w:type="page"/>
      </w:r>
    </w:p>
    <w:p>
      <w:pPr>
        <w:pStyle w:val="Heading1"/>
        <w:keepNext/>
      </w:pPr>
      <w:r>
        <w:t>2 Batch identity and materials</w:t>
      </w:r>
    </w:p>
    <w:p>
      <w:pPr>
        <w:keepNext/>
      </w:pPr>
      <w:r>
        <w:rPr>
          <w:b/>
          <w:sz w:val="18"/>
        </w:rPr>
        <w:t>Material identity and custody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Identity / stability lot</w:t>
            </w:r>
          </w:p>
        </w:tc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Storage / location</w:t>
            </w:r>
          </w:p>
        </w:tc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Expiry / retest</w:t>
            </w:r>
          </w:p>
        </w:tc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Batch-card reference</w:t>
            </w:r>
          </w:p>
        </w:tc>
      </w:tr>
      <w:tr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Sample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Reference standard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Impurity reference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Placebo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Diluent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1882"/>
          </w:tcPr>
          <w:p>
            <w:r>
              <w:rPr>
                <w:sz w:val="18"/>
              </w:rPr>
              <w:t>Mobile phase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r>
              <w:rPr>
                <w:sz w:val="18"/>
              </w:rPr>
            </w:r>
          </w:p>
        </w:tc>
      </w:tr>
    </w:tbl>
    <w:p/>
    <w:p>
      <w:pPr>
        <w:keepNext/>
      </w:pPr>
      <w:r>
        <w:rPr>
          <w:b/>
          <w:sz w:val="18"/>
        </w:rPr>
        <w:t>Preparation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Preparation</w:t>
            </w:r>
          </w:p>
        </w:tc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Concentration / dilution</w:t>
            </w:r>
          </w:p>
        </w:tc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1882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Checked by</w:t>
            </w:r>
          </w:p>
        </w:tc>
      </w:tr>
      <w:tr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Sample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Standard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1882"/>
          </w:tcPr>
          <w:p>
            <w:r>
              <w:rPr>
                <w:sz w:val="18"/>
              </w:rPr>
              <w:t>Specificity solutions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r>
              <w:rPr>
                <w:sz w:val="18"/>
              </w:rPr>
            </w:r>
          </w:p>
        </w:tc>
        <w:tc>
          <w:tcPr>
            <w:tcW w:type="dxa" w:w="1882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 Specificity</w:t>
      </w:r>
    </w:p>
    <w:p>
      <w:pPr>
        <w:keepNext/>
      </w:pPr>
      <w:r>
        <w:rPr>
          <w:b/>
          <w:sz w:val="18"/>
        </w:rPr>
        <w:t>Specificity acceptance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Preparation / challenge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Sequence-sheet reference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Blank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Placebo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Reference standard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Sample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Impurity mixture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Stressed sample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</w:tr>
    </w:tbl>
    <w:p/>
    <w:p>
      <w:r>
        <w:t>Peak identification / interference assessment: [TBC]</w:t>
      </w:r>
    </w:p>
    <w:p>
      <w:r>
        <w:t>Applicable stress conditions and exposure: [TBC]</w:t>
      </w:r>
    </w:p>
    <w:p>
      <w:pPr>
        <w:pStyle w:val="Heading1"/>
        <w:keepNext/>
      </w:pPr>
      <w:r>
        <w:t>3.1 Chromatographic conditions</w:t>
      </w:r>
    </w:p>
    <w:p>
      <w:pPr>
        <w:pStyle w:val="Heading1"/>
        <w:keepNext/>
      </w:pPr>
      <w:r>
        <w:t>3.2 Specificity rationale</w:t>
      </w:r>
    </w:p>
    <w:p>
      <w:r>
        <w:br w:type="page"/>
      </w:r>
    </w:p>
    <w:p>
      <w:pPr>
        <w:pStyle w:val="Heading1"/>
        <w:keepNext/>
      </w:pPr>
      <w:r>
        <w:t>4 System suitability and acceptance</w:t>
      </w:r>
    </w:p>
    <w:p>
      <w:pPr>
        <w:keepNext/>
      </w:pPr>
      <w:r>
        <w:rPr>
          <w:b/>
          <w:sz w:val="18"/>
        </w:rPr>
        <w:t>System-suitability acceptance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Sequence-sheet reference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Repeatability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XX%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Resolution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Peak symmetry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Carryover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Bracketing standard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</w:tr>
    </w:tbl>
    <w:p/>
    <w:p>
      <w:pPr>
        <w:keepNext/>
      </w:pPr>
      <w:r>
        <w:rPr>
          <w:b/>
          <w:sz w:val="18"/>
        </w:rPr>
        <w:t>Method acceptance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Units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Method reference</w:t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Assay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Percent label claim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XX%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Individual impurity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Area percent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XX%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Total impurities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Area percent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XX%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</w:tr>
    </w:tbl>
    <w:p/>
    <w:p>
      <w:r>
        <w:t>Release-gate decision route: [TBC]</w:t>
      </w:r>
    </w:p>
    <w:p>
      <w:pPr>
        <w:pStyle w:val="Heading1"/>
        <w:keepNext/>
      </w:pPr>
      <w:r>
        <w:t>4.1 Repeat analysis authorisation</w:t>
      </w:r>
    </w:p>
    <w:p>
      <w:pPr>
        <w:pStyle w:val="Heading1"/>
        <w:keepNext/>
      </w:pPr>
      <w:r>
        <w:t>4.2 Data processing rules</w:t>
      </w:r>
    </w:p>
    <w:p>
      <w:r>
        <w:br w:type="page"/>
      </w:r>
    </w:p>
    <w:p>
      <w:pPr>
        <w:pStyle w:val="Heading1"/>
        <w:keepNext/>
      </w:pPr>
      <w:r>
        <w:t>5 Deviations and protocol amendments</w:t>
      </w:r>
    </w:p>
    <w:p>
      <w:pPr>
        <w:keepNext/>
      </w:pPr>
      <w:r>
        <w:rPr>
          <w:b/>
          <w:sz w:val="18"/>
        </w:rPr>
        <w:t>Departure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Deviation-note reference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Affected preparation / sequence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QA authorisation</w:t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  <w:keepNext/>
      </w:pPr>
      <w:r>
        <w:t>6 Qualification conclusion</w:t>
      </w:r>
    </w:p>
    <w:p>
      <w:pPr>
        <w:pStyle w:val="Heading1"/>
        <w:keepNext/>
      </w:pPr>
      <w:r>
        <w:t>7 Approval before execution</w:t>
      </w:r>
    </w:p>
    <w:p>
      <w:pPr>
        <w:keepNext/>
      </w:pPr>
      <w:r>
        <w:rPr>
          <w:b/>
          <w:sz w:val="18"/>
        </w:rPr>
        <w:t>Protocol approval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53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Technical review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QA review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Authorisation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  <w:tc>
          <w:tcPr>
            <w:tcW w:type="dxa" w:w="2353"/>
          </w:tcPr>
          <w:p>
            <w:r>
              <w:rPr>
                <w:sz w:val="18"/>
              </w:rPr>
            </w:r>
          </w:p>
        </w:tc>
      </w:tr>
    </w:tbl>
    <w:p/>
    <w:p>
      <w:r>
        <w:t>Execution release gate: [TBC]</w:t>
      </w:r>
    </w:p>
    <w:p>
      <w:pPr>
        <w:pStyle w:val="Heading1"/>
        <w:keepNext/>
      </w:pPr>
      <w:r>
        <w:t>8 Attachments</w:t>
      </w:r>
    </w:p>
    <w:p>
      <w:pPr>
        <w:keepNext/>
      </w:pPr>
      <w:r>
        <w:rPr>
          <w:b/>
          <w:sz w:val="18"/>
        </w:rPr>
        <w:t>Attachment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Attachment</w:t>
            </w:r>
          </w:p>
        </w:tc>
        <w:tc>
          <w:tcPr>
            <w:tcW w:type="dxa" w:w="4706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Reference / revision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Sequence sheet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Batch card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Method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Chromatograms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Westravelle Analytical Ltd, a Tarnovell company | Confidential</w:t>
    </w:r>
    <w:r>
      <w:t xml:space="preserve"> 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Westravelle Analytical Ltd, a Tarnovell company</w:t>
    </w:r>
    <w:r>
      <w:pict>
        <v:shape id="PowerPlusWaterMarkObject" o:spid="_x0000_s2049" type="#_x0000_t136" style="position:absolute;margin-left:0;margin-top:0;width:468pt;height:117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C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C4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C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C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LinksUpToDate>false</LinksUpToDate>
  <CharactersWithSpaces>0</CharactersWithSpaces>
  <SharedDoc>false</SharedDoc>
  <HyperlinkBase/>
  <HyperlinksChanged>false</HyperlinksChanged>
  <Company>Tarnovell Bioscience Group Ltd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HPLC method qualification protocol template</dc:title>
  <dc:subject/>
  <dc:creator>Saira Mahmood</dc:creator>
  <cp:keywords/>
  <dc:description>generated by python-docx</dc:description>
  <cp:lastModifiedBy>Saira Mahmood</cp:lastModifiedBy>
  <cp:revision>13</cp:revision>
  <dcterms:created xsi:type="dcterms:W3CDTF">2025-08-14T10:24:00Z</dcterms:created>
  <dcterms:modified xsi:type="dcterms:W3CDTF">2025-08-14T16:38:00Z</dcterms:modified>
  <cp:category/>
</cp:coreProperties>
</file>