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1416E"/>
          <w:sz w:val="18"/>
        </w:rPr>
        <w:t>Quenverell Computational Ltd, a Tarnovell company</w:t>
      </w:r>
    </w:p>
    <w:p>
      <w:pPr>
        <w:pStyle w:val="Title"/>
      </w:pPr>
      <w:r>
        <w:t>RNA-seq differential expression: data acceptance and contrast reporting</w:t>
      </w:r>
    </w:p>
    <w:p>
      <w:r>
        <w:rPr>
          <w:i/>
          <w:sz w:val="26"/>
        </w:rPr>
        <w:t>Quenverell Computational Ltd, a Tarnovell company</w:t>
      </w:r>
    </w:p>
    <w:p>
      <w:r>
        <w:t>Controlled procedure | Version 3 | Effective 16/04/2020</w:t>
      </w:r>
    </w:p>
    <w:p>
      <w:r>
        <w:t>Owner: Nadia Rahmani, Data Curation and Reproducibility Lead</w:t>
      </w:r>
    </w:p>
    <w:p>
      <w:r>
        <w:t>Scientific approval: Tomasz Zawiernicki, Head of Bioinformatics</w:t>
      </w:r>
    </w:p>
    <w:p>
      <w:r>
        <w:t>Quality approval: Tina Powell, Quality Assurance Manager</w:t>
      </w:r>
    </w:p>
    <w:p>
      <w:pPr>
        <w:pStyle w:val="Heading1"/>
        <w:keepNext/>
      </w:pPr>
      <w:r>
        <w:t>1. Purpose, scope and control</w:t>
      </w:r>
    </w:p>
    <w:p>
      <w:r>
        <w:t>Begin every RNA-seq differential expression engagement with the biological question and the provenance of the material being compared. This procedure controls the passage from a received data drop to an accepted analysis input and from a fitted model to a released contrast. It applies to newly received sequence data, count matrices and NGS reanalysis using retained material. It does not establish experimental identity from a filename or make an unsuitable design estimable.</w:t>
      </w:r>
    </w:p>
    <w:p>
      <w:r>
        <w:t>The analysis lead shall record the intended comparison in the target card before fitting a model. State the biological unit, the condition of interest, the reference condition and the proposed population to which the conclusion applies. Distinguish biological replication from repeated preparation or sequencing of the same material. A contrast that cannot answer the question shall be revised through a model gate; it shall not be replaced silently by a convenient comparison.</w:t>
      </w:r>
    </w:p>
    <w:p>
      <w:pPr>
        <w:keepNext/>
      </w:pPr>
      <w:r>
        <w:rPr>
          <w:b/>
          <w:sz w:val="18"/>
        </w:rPr>
        <w:t>Procedure control</w:t>
      </w:r>
    </w:p>
    <w:tbl>
      <w:tblPr>
        <w:tblStyle w:val="TableGrid"/>
        <w:tblW w:type="auto" w:w="0"/>
        <w:tblLook w:firstColumn="1" w:firstRow="1" w:lastColumn="0" w:lastRow="0" w:noHBand="0" w:noVBand="1" w:val="04A0"/>
      </w:tblPr>
      <w:tblGrid>
        <w:gridCol w:w="4706"/>
        <w:gridCol w:w="4706"/>
      </w:tblGrid>
      <w:tr>
        <w:tc>
          <w:tcPr>
            <w:tcW w:type="dxa" w:w="4706"/>
            <w:shd w:val="clear" w:color="auto" w:fill="41416E"/>
          </w:tcPr>
          <w:p>
            <w:pPr>
              <w:keepNext/>
            </w:pPr>
            <w:r>
              <w:rPr>
                <w:b/>
                <w:color w:val="FFFFFF"/>
                <w:sz w:val="18"/>
              </w:rPr>
              <w:t>Control item</w:t>
            </w:r>
          </w:p>
        </w:tc>
        <w:tc>
          <w:tcPr>
            <w:tcW w:type="dxa" w:w="4706"/>
            <w:shd w:val="clear" w:color="auto" w:fill="41416E"/>
          </w:tcPr>
          <w:p>
            <w:pPr>
              <w:keepNext/>
            </w:pPr>
            <w:r>
              <w:rPr>
                <w:b/>
                <w:color w:val="FFFFFF"/>
                <w:sz w:val="18"/>
              </w:rPr>
              <w:t>Requirement</w:t>
            </w:r>
          </w:p>
        </w:tc>
      </w:tr>
      <w:tr>
        <w:tc>
          <w:tcPr>
            <w:tcW w:type="dxa" w:w="4706"/>
          </w:tcPr>
          <w:p>
            <w:pPr>
              <w:keepNext/>
            </w:pPr>
            <w:r>
              <w:rPr>
                <w:sz w:val="18"/>
              </w:rPr>
              <w:t>Version</w:t>
            </w:r>
          </w:p>
        </w:tc>
        <w:tc>
          <w:tcPr>
            <w:tcW w:type="dxa" w:w="4706"/>
          </w:tcPr>
          <w:p>
            <w:pPr>
              <w:keepNext/>
            </w:pPr>
            <w:r>
              <w:rPr>
                <w:sz w:val="18"/>
              </w:rPr>
              <w:t>3; effective 16/04/2020</w:t>
            </w:r>
          </w:p>
        </w:tc>
      </w:tr>
      <w:tr>
        <w:tc>
          <w:tcPr>
            <w:tcW w:type="dxa" w:w="4706"/>
          </w:tcPr>
          <w:p>
            <w:pPr>
              <w:keepNext/>
            </w:pPr>
            <w:r>
              <w:rPr>
                <w:sz w:val="18"/>
              </w:rPr>
              <w:t>Owner</w:t>
            </w:r>
          </w:p>
        </w:tc>
        <w:tc>
          <w:tcPr>
            <w:tcW w:type="dxa" w:w="4706"/>
          </w:tcPr>
          <w:p>
            <w:pPr>
              <w:keepNext/>
            </w:pPr>
            <w:r>
              <w:rPr>
                <w:sz w:val="18"/>
              </w:rPr>
              <w:t>Nadia Rahmani</w:t>
            </w:r>
          </w:p>
        </w:tc>
      </w:tr>
      <w:tr>
        <w:tc>
          <w:tcPr>
            <w:tcW w:type="dxa" w:w="4706"/>
          </w:tcPr>
          <w:p>
            <w:pPr>
              <w:keepNext/>
            </w:pPr>
            <w:r>
              <w:rPr>
                <w:sz w:val="18"/>
              </w:rPr>
              <w:t>Scientific authority</w:t>
            </w:r>
          </w:p>
        </w:tc>
        <w:tc>
          <w:tcPr>
            <w:tcW w:type="dxa" w:w="4706"/>
          </w:tcPr>
          <w:p>
            <w:pPr>
              <w:keepNext/>
            </w:pPr>
            <w:r>
              <w:rPr>
                <w:sz w:val="18"/>
              </w:rPr>
              <w:t>Tomasz Zawiernicki</w:t>
            </w:r>
          </w:p>
        </w:tc>
      </w:tr>
      <w:tr>
        <w:tc>
          <w:tcPr>
            <w:tcW w:type="dxa" w:w="4706"/>
          </w:tcPr>
          <w:p>
            <w:pPr>
              <w:keepNext/>
            </w:pPr>
            <w:r>
              <w:rPr>
                <w:sz w:val="18"/>
              </w:rPr>
              <w:t>Quality authority</w:t>
            </w:r>
          </w:p>
        </w:tc>
        <w:tc>
          <w:tcPr>
            <w:tcW w:type="dxa" w:w="4706"/>
          </w:tcPr>
          <w:p>
            <w:pPr>
              <w:keepNext/>
            </w:pPr>
            <w:r>
              <w:rPr>
                <w:sz w:val="18"/>
              </w:rPr>
              <w:t>Tina Powell</w:t>
            </w:r>
          </w:p>
        </w:tc>
      </w:tr>
      <w:tr>
        <w:tc>
          <w:tcPr>
            <w:tcW w:type="dxa" w:w="4706"/>
          </w:tcPr>
          <w:p>
            <w:pPr>
              <w:keepNext/>
            </w:pPr>
            <w:r>
              <w:rPr>
                <w:sz w:val="18"/>
              </w:rPr>
              <w:t>Controlled master</w:t>
            </w:r>
          </w:p>
        </w:tc>
        <w:tc>
          <w:tcPr>
            <w:tcW w:type="dxa" w:w="4706"/>
          </w:tcPr>
          <w:p>
            <w:pPr>
              <w:keepNext/>
            </w:pPr>
            <w:r>
              <w:rPr>
                <w:sz w:val="18"/>
              </w:rPr>
              <w:t>Data acceptance SOP directory</w:t>
            </w:r>
          </w:p>
        </w:tc>
      </w:tr>
      <w:tr>
        <w:tc>
          <w:tcPr>
            <w:tcW w:type="dxa" w:w="4706"/>
          </w:tcPr>
          <w:p>
            <w:r>
              <w:rPr>
                <w:sz w:val="18"/>
              </w:rPr>
              <w:t>Use of copies</w:t>
            </w:r>
          </w:p>
        </w:tc>
        <w:tc>
          <w:tcPr>
            <w:tcW w:type="dxa" w:w="4706"/>
          </w:tcPr>
          <w:p>
            <w:r>
              <w:rPr>
                <w:sz w:val="18"/>
              </w:rPr>
              <w:t>Check the version against the controlled master before use</w:t>
            </w:r>
          </w:p>
        </w:tc>
      </w:tr>
    </w:tbl>
    <w:p/>
    <w:p>
      <w:r>
        <w:t>Version 3 brings metadata reconciliation, batch-effect review and contrast release into the same acceptance trail. Earlier analysis decisions remain associated with the version under which they were made. Do not overwrite a completed engagement to make it appear to have followed this version. Where retained material is reanalysed, identify the new analysis as such and preserve the earlier delivery.</w:t>
      </w:r>
    </w:p>
    <w:p>
      <w:r>
        <w:br w:type="page"/>
      </w:r>
    </w:p>
    <w:p>
      <w:pPr>
        <w:pStyle w:val="Heading1"/>
        <w:keepNext/>
      </w:pPr>
      <w:r>
        <w:t>2. Responsibilities and acceptance states</w:t>
      </w:r>
    </w:p>
    <w:p>
      <w:r>
        <w:t>Nadia Rahmani maintains the provenance and acceptance record. The assigned analyst reconciles the inputs, performs the diagnostic work and records executable analysis steps. The scientific lead determines whether the design and proposed contrasts address the biological question. Tomasz Zawiernicki resolves scientific issues that cannot be settled within the engagement. Tina Powell reviews departures from this controlled procedure and the adequacy of the associated documentation.</w:t>
      </w:r>
    </w:p>
    <w:p>
      <w:pPr>
        <w:keepNext/>
      </w:pPr>
      <w:r>
        <w:rPr>
          <w:b/>
          <w:sz w:val="18"/>
        </w:rPr>
        <w:t>Acceptance states; each transition requires a dated reason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41416E"/>
          </w:tcPr>
          <w:p>
            <w:pPr>
              <w:keepNext/>
            </w:pPr>
            <w:r>
              <w:rPr>
                <w:b/>
                <w:color w:val="FFFFFF"/>
                <w:sz w:val="18"/>
              </w:rPr>
              <w:t>State</w:t>
            </w:r>
          </w:p>
        </w:tc>
        <w:tc>
          <w:tcPr>
            <w:tcW w:type="dxa" w:w="3137"/>
            <w:shd w:val="clear" w:color="auto" w:fill="41416E"/>
          </w:tcPr>
          <w:p>
            <w:pPr>
              <w:keepNext/>
            </w:pPr>
            <w:r>
              <w:rPr>
                <w:b/>
                <w:color w:val="FFFFFF"/>
                <w:sz w:val="18"/>
              </w:rPr>
              <w:t>Meaning</w:t>
            </w:r>
          </w:p>
        </w:tc>
        <w:tc>
          <w:tcPr>
            <w:tcW w:type="dxa" w:w="3137"/>
            <w:shd w:val="clear" w:color="auto" w:fill="41416E"/>
          </w:tcPr>
          <w:p>
            <w:pPr>
              <w:keepNext/>
            </w:pPr>
            <w:r>
              <w:rPr>
                <w:b/>
                <w:color w:val="FFFFFF"/>
                <w:sz w:val="18"/>
              </w:rPr>
              <w:t>Permitted next action</w:t>
            </w:r>
          </w:p>
        </w:tc>
      </w:tr>
      <w:tr>
        <w:tc>
          <w:tcPr>
            <w:tcW w:type="dxa" w:w="3137"/>
          </w:tcPr>
          <w:p>
            <w:pPr>
              <w:keepNext/>
            </w:pPr>
            <w:r>
              <w:rPr>
                <w:sz w:val="18"/>
              </w:rPr>
              <w:t>Received</w:t>
            </w:r>
          </w:p>
        </w:tc>
        <w:tc>
          <w:tcPr>
            <w:tcW w:type="dxa" w:w="3137"/>
          </w:tcPr>
          <w:p>
            <w:pPr>
              <w:keepNext/>
            </w:pPr>
            <w:r>
              <w:rPr>
                <w:sz w:val="18"/>
              </w:rPr>
              <w:t>Files registered; identity and suitability not yet established</w:t>
            </w:r>
          </w:p>
        </w:tc>
        <w:tc>
          <w:tcPr>
            <w:tcW w:type="dxa" w:w="3137"/>
          </w:tcPr>
          <w:p>
            <w:pPr>
              <w:keepNext/>
            </w:pPr>
            <w:r>
              <w:rPr>
                <w:sz w:val="18"/>
              </w:rPr>
              <w:t>Inspect and reconcile</w:t>
            </w:r>
          </w:p>
        </w:tc>
      </w:tr>
      <w:tr>
        <w:tc>
          <w:tcPr>
            <w:tcW w:type="dxa" w:w="3137"/>
          </w:tcPr>
          <w:p>
            <w:pPr>
              <w:keepNext/>
            </w:pPr>
            <w:r>
              <w:rPr>
                <w:sz w:val="18"/>
              </w:rPr>
              <w:t>Held</w:t>
            </w:r>
          </w:p>
        </w:tc>
        <w:tc>
          <w:tcPr>
            <w:tcW w:type="dxa" w:w="3137"/>
          </w:tcPr>
          <w:p>
            <w:pPr>
              <w:keepNext/>
            </w:pPr>
            <w:r>
              <w:rPr>
                <w:sz w:val="18"/>
              </w:rPr>
              <w:t>An unresolved issue affects identity, design or interpretation</w:t>
            </w:r>
          </w:p>
        </w:tc>
        <w:tc>
          <w:tcPr>
            <w:tcW w:type="dxa" w:w="3137"/>
          </w:tcPr>
          <w:p>
            <w:pPr>
              <w:keepNext/>
            </w:pPr>
            <w:r>
              <w:rPr>
                <w:sz w:val="18"/>
              </w:rPr>
              <w:t>Obtain clarification; do not release a contrast</w:t>
            </w:r>
          </w:p>
        </w:tc>
      </w:tr>
      <w:tr>
        <w:tc>
          <w:tcPr>
            <w:tcW w:type="dxa" w:w="3137"/>
          </w:tcPr>
          <w:p>
            <w:pPr>
              <w:keepNext/>
            </w:pPr>
            <w:r>
              <w:rPr>
                <w:sz w:val="18"/>
              </w:rPr>
              <w:t>Accepted</w:t>
            </w:r>
          </w:p>
        </w:tc>
        <w:tc>
          <w:tcPr>
            <w:tcW w:type="dxa" w:w="3137"/>
          </w:tcPr>
          <w:p>
            <w:pPr>
              <w:keepNext/>
            </w:pPr>
            <w:r>
              <w:rPr>
                <w:sz w:val="18"/>
              </w:rPr>
              <w:t>Inputs meet the documented engagement-specific criteria</w:t>
            </w:r>
          </w:p>
        </w:tc>
        <w:tc>
          <w:tcPr>
            <w:tcW w:type="dxa" w:w="3137"/>
          </w:tcPr>
          <w:p>
            <w:pPr>
              <w:keepNext/>
            </w:pPr>
            <w:r>
              <w:rPr>
                <w:sz w:val="18"/>
              </w:rPr>
              <w:t>Proceed with the approved analysis</w:t>
            </w:r>
          </w:p>
        </w:tc>
      </w:tr>
      <w:tr>
        <w:tc>
          <w:tcPr>
            <w:tcW w:type="dxa" w:w="3137"/>
          </w:tcPr>
          <w:p>
            <w:pPr>
              <w:keepNext/>
            </w:pPr>
            <w:r>
              <w:rPr>
                <w:sz w:val="18"/>
              </w:rPr>
              <w:t>Accepted with limitation</w:t>
            </w:r>
          </w:p>
        </w:tc>
        <w:tc>
          <w:tcPr>
            <w:tcW w:type="dxa" w:w="3137"/>
          </w:tcPr>
          <w:p>
            <w:pPr>
              <w:keepNext/>
            </w:pPr>
            <w:r>
              <w:rPr>
                <w:sz w:val="18"/>
              </w:rPr>
              <w:t>A defined limitation has been assessed and authorised</w:t>
            </w:r>
          </w:p>
        </w:tc>
        <w:tc>
          <w:tcPr>
            <w:tcW w:type="dxa" w:w="3137"/>
          </w:tcPr>
          <w:p>
            <w:pPr>
              <w:keepNext/>
            </w:pPr>
            <w:r>
              <w:rPr>
                <w:sz w:val="18"/>
              </w:rPr>
              <w:t>Proceed only within the stated interpretation</w:t>
            </w:r>
          </w:p>
        </w:tc>
      </w:tr>
      <w:tr>
        <w:tc>
          <w:tcPr>
            <w:tcW w:type="dxa" w:w="3137"/>
          </w:tcPr>
          <w:p>
            <w:r>
              <w:rPr>
                <w:sz w:val="18"/>
              </w:rPr>
              <w:t>Rejected</w:t>
            </w:r>
          </w:p>
        </w:tc>
        <w:tc>
          <w:tcPr>
            <w:tcW w:type="dxa" w:w="3137"/>
          </w:tcPr>
          <w:p>
            <w:r>
              <w:rPr>
                <w:sz w:val="18"/>
              </w:rPr>
              <w:t>The proposed input is unsuitable for the intended analysis</w:t>
            </w:r>
          </w:p>
        </w:tc>
        <w:tc>
          <w:tcPr>
            <w:tcW w:type="dxa" w:w="3137"/>
          </w:tcPr>
          <w:p>
            <w:r>
              <w:rPr>
                <w:sz w:val="18"/>
              </w:rPr>
              <w:t>Retain evidence and request replacement or revised scope</w:t>
            </w:r>
          </w:p>
        </w:tc>
      </w:tr>
    </w:tbl>
    <w:p/>
    <w:p>
      <w:r>
        <w:t>The person resolving an issue shall be identifiable in the analysis notebook. A hold is not closed merely because processing completed without an error. The resolution must address the reason for the hold, identify any replacement input and state which downstream analyses must be repeated. A technical success and a scientifically acceptable input are separate matters.</w:t>
      </w:r>
    </w:p>
    <w:p>
      <w:r>
        <w:t>Before release, a colleague who did not create the final contrast table shall check sample mapping, contrast direction, model terms and the correspondence between the report and the analysis output. The check must be recorded with the version examined. If the checker finds a discrepancy, return the affected output to hold until the discrepancy and its consequences have been resolved.</w:t>
      </w:r>
    </w:p>
    <w:p>
      <w:r>
        <w:br w:type="page"/>
      </w:r>
    </w:p>
    <w:p>
      <w:pPr>
        <w:pStyle w:val="Heading1"/>
        <w:keepNext/>
      </w:pPr>
      <w:r>
        <w:t>3. Receipt, provenance and preservation</w:t>
      </w:r>
    </w:p>
    <w:p>
      <w:r>
        <w:t>Register each data drop under the engagement accession before altering filenames or file contents. Record receipt date, source, declared file type, source version and the accompanying metadata. Preserve the original directory structure where it carries information about sample identity. Generate a file inventory and checksums so that later analysis can be linked to the exact received files. Store transformed files separately from originals.</w:t>
      </w:r>
    </w:p>
    <w:p>
      <w:pPr>
        <w:pStyle w:val="ListBullet"/>
        <w:keepNext/>
        <w:keepLines/>
      </w:pPr>
      <w:r>
        <w:t>Identify whether the input is sequence data, aligned data or an existing count matrix.</w:t>
      </w:r>
    </w:p>
    <w:p>
      <w:pPr>
        <w:pStyle w:val="ListBullet"/>
        <w:keepNext/>
        <w:keepLines/>
      </w:pPr>
      <w:r>
        <w:t>For sequence data, establish pairing, read orientation and the declared preparation method.</w:t>
      </w:r>
    </w:p>
    <w:p>
      <w:pPr>
        <w:pStyle w:val="ListBullet"/>
        <w:keepNext/>
        <w:keepLines/>
      </w:pPr>
      <w:r>
        <w:t>For a count matrix, establish how features were defined and counted, and whether entries are raw counts or transformed values.</w:t>
      </w:r>
    </w:p>
    <w:p>
      <w:pPr>
        <w:pStyle w:val="ListBullet"/>
        <w:keepNext/>
        <w:keepLines/>
      </w:pPr>
      <w:r>
        <w:t>Record the reference assembly and annotation source or raise a hold if their identity is unclear.</w:t>
      </w:r>
    </w:p>
    <w:p>
      <w:pPr>
        <w:pStyle w:val="ListBullet"/>
        <w:keepLines/>
      </w:pPr>
      <w:r>
        <w:t>Preserve the correspondence between source sample identifiers and any internal analysis labels.</w:t>
      </w:r>
    </w:p>
    <w:p>
      <w:r>
        <w:t>Do not infer sample condition from a directory name where the metadata disagree. Seek clarification through the engagement correspondence and retain the answer. If a replacement export is received, register it as a new data drop; do not substitute its contents under the earlier checksum or receipt date. Record whether the replacement corrects identity, adds information or changes the analysis population.</w:t>
      </w:r>
    </w:p>
    <w:p>
      <w:r>
        <w:t>An externally prepared count matrix may be suitable without repeating upstream processing, but the analyst must establish what it represents. Normalised abundance values shall not be presented to a method that expects raw counts. If raw inputs or preparation details are unavailable, describe the resulting limitation and obtain scientific approval for any narrower analysis. The absence of provenance is not repaired by assigning a plausible reference version.</w:t>
      </w:r>
    </w:p>
    <w:p>
      <w:r>
        <w:br w:type="page"/>
      </w:r>
    </w:p>
    <w:p>
      <w:pPr>
        <w:pStyle w:val="Heading1"/>
        <w:keepNext/>
      </w:pPr>
      <w:r>
        <w:t>4. Metadata reconciliation and design lock</w:t>
      </w:r>
    </w:p>
    <w:p>
      <w:r>
        <w:t>Construct a sample reconciliation table with a separate row for each biological unit entering the proposed analysis. Include source identifier, input-file mapping, condition, relevant covariates, preparation group and sequencing group where known. Record technical replication separately. Verify that the columns of a count matrix or the files entering sequence processing map to this table without missing, duplicated or unmatched identifiers.</w:t>
      </w:r>
    </w:p>
    <w:p>
      <w:r>
        <w:t>Review the metadata for inconsistent spelling, incompatible categories and missing values. Retain the source value beside a corrected analysis value and state the basis for the correction. Never fill a missing biological condition from an apparent expression pattern. Unexpected expression may prompt an identity query, but it cannot establish the answer without source evidence.</w:t>
      </w:r>
    </w:p>
    <w:p>
      <w:pPr>
        <w:pStyle w:val="ListBullet"/>
        <w:keepNext/>
        <w:keepLines/>
      </w:pPr>
      <w:r>
        <w:t>Define numerator and denominator for every intended contrast.</w:t>
      </w:r>
    </w:p>
    <w:p>
      <w:pPr>
        <w:pStyle w:val="ListBullet"/>
        <w:keepNext/>
        <w:keepLines/>
      </w:pPr>
      <w:r>
        <w:t>Identify paired material and repeated observations from the same biological unit.</w:t>
      </w:r>
    </w:p>
    <w:p>
      <w:pPr>
        <w:pStyle w:val="ListBullet"/>
        <w:keepNext/>
        <w:keepLines/>
      </w:pPr>
      <w:r>
        <w:t>Separate biological covariates from technical grouping variables.</w:t>
      </w:r>
    </w:p>
    <w:p>
      <w:pPr>
        <w:pStyle w:val="ListBullet"/>
        <w:keepNext/>
        <w:keepLines/>
      </w:pPr>
      <w:r>
        <w:t>Assess whether the design contains independent information for the requested effect.</w:t>
      </w:r>
    </w:p>
    <w:p>
      <w:pPr>
        <w:pStyle w:val="ListBullet"/>
        <w:keepLines/>
      </w:pPr>
      <w:r>
        <w:t>Record exclusions and their scientific basis before inspecting contrast significance.</w:t>
      </w:r>
    </w:p>
    <w:p>
      <w:r>
        <w:t>At the design-lock model gate, the scientific lead approves the reconciled sample population, model terms and intended contrasts. Complete confounding between condition and a preparation or sequencing group shall be recorded as a limit to interpretation. Adding both terms to a formula does not recover information absent from the design. Where necessary, revise the question or request further material rather than releasing a condition effect that cannot be separated from the technical grouping.</w:t>
      </w:r>
    </w:p>
    <w:p>
      <w:r>
        <w:t>Subsequent metadata corrections require a dated change entry and reconsideration of design lock. Identify all affected diagnostics, model fits and reports. An exclusion made after inspecting results requires an explicit rationale and a sensitivity comparison where feasible; it must not be disguised as an earlier acceptance decision.</w:t>
      </w:r>
    </w:p>
    <w:p>
      <w:r>
        <w:br w:type="page"/>
      </w:r>
    </w:p>
    <w:p>
      <w:pPr>
        <w:pStyle w:val="Heading1"/>
        <w:keepNext/>
      </w:pPr>
      <w:r>
        <w:t>5. Technical data acceptance</w:t>
      </w:r>
    </w:p>
    <w:p>
      <w:r>
        <w:t>Before processing, define the engagement-specific acceptance criteria in the analysis notebook. Consider library preparation, material quality, reference suitability and the intended comparison. This procedure does not impose a universal mapping or depth threshold that would be appropriate for every engagement. The analyst shall justify the criteria before using them to accept or reject a sample.</w:t>
      </w:r>
    </w:p>
    <w:p>
      <w:pPr>
        <w:keepNext/>
      </w:pPr>
      <w:r>
        <w:rPr>
          <w:b/>
          <w:sz w:val="18"/>
        </w:rPr>
        <w:t>Acceptance evidence to retain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41416E"/>
          </w:tcPr>
          <w:p>
            <w:pPr>
              <w:keepNext/>
            </w:pPr>
            <w:r>
              <w:rPr>
                <w:b/>
                <w:color w:val="FFFFFF"/>
                <w:sz w:val="18"/>
              </w:rPr>
              <w:t>Input or diagnostic</w:t>
            </w:r>
          </w:p>
        </w:tc>
        <w:tc>
          <w:tcPr>
            <w:tcW w:type="dxa" w:w="3137"/>
            <w:shd w:val="clear" w:color="auto" w:fill="41416E"/>
          </w:tcPr>
          <w:p>
            <w:pPr>
              <w:keepNext/>
            </w:pPr>
            <w:r>
              <w:rPr>
                <w:b/>
                <w:color w:val="FFFFFF"/>
                <w:sz w:val="18"/>
              </w:rPr>
              <w:t>Inspect</w:t>
            </w:r>
          </w:p>
        </w:tc>
        <w:tc>
          <w:tcPr>
            <w:tcW w:type="dxa" w:w="3137"/>
            <w:shd w:val="clear" w:color="auto" w:fill="41416E"/>
          </w:tcPr>
          <w:p>
            <w:pPr>
              <w:keepNext/>
            </w:pPr>
            <w:r>
              <w:rPr>
                <w:b/>
                <w:color w:val="FFFFFF"/>
                <w:sz w:val="18"/>
              </w:rPr>
              <w:t>Documented response</w:t>
            </w:r>
          </w:p>
        </w:tc>
      </w:tr>
      <w:tr>
        <w:tc>
          <w:tcPr>
            <w:tcW w:type="dxa" w:w="3137"/>
          </w:tcPr>
          <w:p>
            <w:pPr>
              <w:keepNext/>
            </w:pPr>
            <w:r>
              <w:rPr>
                <w:sz w:val="18"/>
              </w:rPr>
              <w:t>Sequence files</w:t>
            </w:r>
          </w:p>
        </w:tc>
        <w:tc>
          <w:tcPr>
            <w:tcW w:type="dxa" w:w="3137"/>
          </w:tcPr>
          <w:p>
            <w:pPr>
              <w:keepNext/>
            </w:pPr>
            <w:r>
              <w:rPr>
                <w:sz w:val="18"/>
              </w:rPr>
              <w:t>Integrity, pairing and expected layout</w:t>
            </w:r>
          </w:p>
        </w:tc>
        <w:tc>
          <w:tcPr>
            <w:tcW w:type="dxa" w:w="3137"/>
          </w:tcPr>
          <w:p>
            <w:pPr>
              <w:keepNext/>
            </w:pPr>
            <w:r>
              <w:rPr>
                <w:sz w:val="18"/>
              </w:rPr>
              <w:t>Hold unreadable or mismatched inputs</w:t>
            </w:r>
          </w:p>
        </w:tc>
      </w:tr>
      <w:tr>
        <w:tc>
          <w:tcPr>
            <w:tcW w:type="dxa" w:w="3137"/>
          </w:tcPr>
          <w:p>
            <w:pPr>
              <w:keepNext/>
            </w:pPr>
            <w:r>
              <w:rPr>
                <w:sz w:val="18"/>
              </w:rPr>
              <w:t>Read characteristics</w:t>
            </w:r>
          </w:p>
        </w:tc>
        <w:tc>
          <w:tcPr>
            <w:tcW w:type="dxa" w:w="3137"/>
          </w:tcPr>
          <w:p>
            <w:pPr>
              <w:keepNext/>
            </w:pPr>
            <w:r>
              <w:rPr>
                <w:sz w:val="18"/>
              </w:rPr>
              <w:t>Quality profile, sequence composition and preparation artefacts</w:t>
            </w:r>
          </w:p>
        </w:tc>
        <w:tc>
          <w:tcPr>
            <w:tcW w:type="dxa" w:w="3137"/>
          </w:tcPr>
          <w:p>
            <w:pPr>
              <w:keepNext/>
            </w:pPr>
            <w:r>
              <w:rPr>
                <w:sz w:val="18"/>
              </w:rPr>
              <w:t>Explain filtering and retained information</w:t>
            </w:r>
          </w:p>
        </w:tc>
      </w:tr>
      <w:tr>
        <w:tc>
          <w:tcPr>
            <w:tcW w:type="dxa" w:w="3137"/>
          </w:tcPr>
          <w:p>
            <w:pPr>
              <w:keepNext/>
            </w:pPr>
            <w:r>
              <w:rPr>
                <w:sz w:val="18"/>
              </w:rPr>
              <w:t>Reference alignment</w:t>
            </w:r>
          </w:p>
        </w:tc>
        <w:tc>
          <w:tcPr>
            <w:tcW w:type="dxa" w:w="3137"/>
          </w:tcPr>
          <w:p>
            <w:pPr>
              <w:keepNext/>
            </w:pPr>
            <w:r>
              <w:rPr>
                <w:sz w:val="18"/>
              </w:rPr>
              <w:t>Compatibility, distribution and unexpected features</w:t>
            </w:r>
          </w:p>
        </w:tc>
        <w:tc>
          <w:tcPr>
            <w:tcW w:type="dxa" w:w="3137"/>
          </w:tcPr>
          <w:p>
            <w:pPr>
              <w:keepNext/>
            </w:pPr>
            <w:r>
              <w:rPr>
                <w:sz w:val="18"/>
              </w:rPr>
              <w:t>Investigate unsuitable reference or contamination concerns</w:t>
            </w:r>
          </w:p>
        </w:tc>
      </w:tr>
      <w:tr>
        <w:tc>
          <w:tcPr>
            <w:tcW w:type="dxa" w:w="3137"/>
          </w:tcPr>
          <w:p>
            <w:pPr>
              <w:keepNext/>
            </w:pPr>
            <w:r>
              <w:rPr>
                <w:sz w:val="18"/>
              </w:rPr>
              <w:t>Count matrix</w:t>
            </w:r>
          </w:p>
        </w:tc>
        <w:tc>
          <w:tcPr>
            <w:tcW w:type="dxa" w:w="3137"/>
          </w:tcPr>
          <w:p>
            <w:pPr>
              <w:keepNext/>
            </w:pPr>
            <w:r>
              <w:rPr>
                <w:sz w:val="18"/>
              </w:rPr>
              <w:t>Feature identity, count type and sample mapping</w:t>
            </w:r>
          </w:p>
        </w:tc>
        <w:tc>
          <w:tcPr>
            <w:tcW w:type="dxa" w:w="3137"/>
          </w:tcPr>
          <w:p>
            <w:pPr>
              <w:keepNext/>
            </w:pPr>
            <w:r>
              <w:rPr>
                <w:sz w:val="18"/>
              </w:rPr>
              <w:t>Resolve duplicate or ambiguous feature rows</w:t>
            </w:r>
          </w:p>
        </w:tc>
      </w:tr>
      <w:tr>
        <w:tc>
          <w:tcPr>
            <w:tcW w:type="dxa" w:w="3137"/>
          </w:tcPr>
          <w:p>
            <w:r>
              <w:rPr>
                <w:sz w:val="18"/>
              </w:rPr>
              <w:t>Sample distributions</w:t>
            </w:r>
          </w:p>
        </w:tc>
        <w:tc>
          <w:tcPr>
            <w:tcW w:type="dxa" w:w="3137"/>
          </w:tcPr>
          <w:p>
            <w:r>
              <w:rPr>
                <w:sz w:val="18"/>
              </w:rPr>
              <w:t>Library size, detected features and composition differences</w:t>
            </w:r>
          </w:p>
        </w:tc>
        <w:tc>
          <w:tcPr>
            <w:tcW w:type="dxa" w:w="3137"/>
          </w:tcPr>
          <w:p>
            <w:r>
              <w:rPr>
                <w:sz w:val="18"/>
              </w:rPr>
              <w:t>Assess outliers in biological and technical context</w:t>
            </w:r>
          </w:p>
        </w:tc>
      </w:tr>
    </w:tbl>
    <w:p/>
    <w:p>
      <w:r>
        <w:t>Record processing choices and retain diagnostic outputs. Filtering shall be described as a rule applied to the defined population, with its rationale and position in the workflow. Do not delete feature rows selectively because their contrast result is inconvenient. Where multiple identifiers refer to the same feature, record the chosen handling and preserve the mapping so that the final table can be interpreted.</w:t>
      </w:r>
    </w:p>
    <w:p>
      <w:r>
        <w:t>An unusual sample is a query, not an automatic exclusion. Examine source metadata, preparation information and processing diagnostics together. If an exclusion is authorised, retain the sample in the provenance register, identify the reason and define the resulting analysis population. If the issue remains unresolved, use a hold or an approved limitation rather than labelling the sample accepted without qualification.</w:t>
      </w:r>
    </w:p>
    <w:p>
      <w:r>
        <w:br w:type="page"/>
      </w:r>
    </w:p>
    <w:p>
      <w:pPr>
        <w:pStyle w:val="Heading1"/>
        <w:keepNext/>
      </w:pPr>
      <w:r>
        <w:t>6. Batch-effect review and model gate</w:t>
      </w:r>
    </w:p>
    <w:p>
      <w:r>
        <w:t>Review preparation and sequencing groups alongside biological condition using sample-level diagnostics appropriate to the analysis. Use transformed data for exploratory plots and preserve raw counts for the fitted count model where required. Label plots using reconciled identifiers and examine whether apparent separation follows condition, known technical groups, an individual sample or a combination of these.</w:t>
      </w:r>
    </w:p>
    <w:p>
      <w:r>
        <w:t>Exploratory separation is not, by itself, proof of a technical batch effect. A biological difference may dominate a plot, while a technical effect may be visible only within a condition. Compare the plot with the design table and available preparation history. Record the evidence supporting each proposed nuisance term, including whether it can be estimated independently of the contrast of interest.</w:t>
      </w:r>
    </w:p>
    <w:p>
      <w:pPr>
        <w:pStyle w:val="ListBullet"/>
        <w:keepNext/>
        <w:keepLines/>
      </w:pPr>
      <w:r>
        <w:t>Inspect sample relationships with condition and known technical groups visible.</w:t>
      </w:r>
    </w:p>
    <w:p>
      <w:pPr>
        <w:pStyle w:val="ListBullet"/>
        <w:keepNext/>
        <w:keepLines/>
      </w:pPr>
      <w:r>
        <w:t>Review influential samples against source and acceptance evidence.</w:t>
      </w:r>
    </w:p>
    <w:p>
      <w:pPr>
        <w:pStyle w:val="ListBullet"/>
        <w:keepNext/>
        <w:keepLines/>
      </w:pPr>
      <w:r>
        <w:t>Check the proposed design for redundant or non-estimable terms.</w:t>
      </w:r>
    </w:p>
    <w:p>
      <w:pPr>
        <w:pStyle w:val="ListBullet"/>
        <w:keepNext/>
        <w:keepLines/>
      </w:pPr>
      <w:r>
        <w:t>Document whether a technical grouping is modelled, left unmodelled with a limitation, or prevents the requested contrast.</w:t>
      </w:r>
    </w:p>
    <w:p>
      <w:pPr>
        <w:pStyle w:val="ListBullet"/>
        <w:keepLines/>
      </w:pPr>
      <w:r>
        <w:t>Retain sensitivity analyses when an alternative defensible model could change interpretation.</w:t>
      </w:r>
    </w:p>
    <w:p>
      <w:r>
        <w:t>Do not remove variation solely to improve the appearance of a plot. If adjusted exploratory values are used for display, label them and describe the adjustment. They shall not be confused with the observations used for inference. Any model-based handling of a technical group must be recorded in the design and evaluated for its effect on the biological comparison.</w:t>
      </w:r>
    </w:p>
    <w:p>
      <w:r>
        <w:t>At this model gate, the scientific lead approves the analysis design or returns it to hold. Complete confounding must be stated plainly in the technical note. Partial confounding also requires discussion of uncertainty and the population represented by the estimate. Acceptance with a limitation shall specify which claims remain supportable; it is not permission to omit the limitation from the client delivery.</w:t>
      </w:r>
    </w:p>
    <w:p>
      <w:r>
        <w:br w:type="page"/>
      </w:r>
    </w:p>
    <w:p>
      <w:pPr>
        <w:pStyle w:val="Heading1"/>
        <w:keepNext/>
      </w:pPr>
      <w:r>
        <w:t>7. Differential expression and contrast reporting</w:t>
      </w:r>
    </w:p>
    <w:p>
      <w:r>
        <w:t>Fit the approved design using the accepted inputs and the documented filtering and normalisation choices. Record the analysis environment, method versions, model formula and contrast definition. Confirm that the requested comparison is estimable before generating the release table. Define the family of tests to which the multiple-testing adjustment applies; preserve that definition when reporting selected features.</w:t>
      </w:r>
    </w:p>
    <w:p>
      <w:r>
        <w:t>Report effect size as log2 fold change and identify its direction in words. A positive value shall have an explicit meaning relative to the named numerator and denominator. Report adjusted probabilities with the adjustment method and the tested feature population. Do not describe an adjusted probability as the probability that the biological hypothesis is true. Significance and biological importance are distinct judgements.</w:t>
      </w:r>
    </w:p>
    <w:p>
      <w:pPr>
        <w:keepNext/>
      </w:pPr>
      <w:r>
        <w:rPr>
          <w:b/>
          <w:sz w:val="18"/>
        </w:rPr>
        <w:t>Minimum contrast-table content</w:t>
      </w:r>
    </w:p>
    <w:tbl>
      <w:tblPr>
        <w:tblStyle w:val="TableGrid"/>
        <w:tblW w:type="auto" w:w="0"/>
        <w:tblLook w:firstColumn="1" w:firstRow="1" w:lastColumn="0" w:lastRow="0" w:noHBand="0" w:noVBand="1" w:val="04A0"/>
      </w:tblPr>
      <w:tblGrid>
        <w:gridCol w:w="4706"/>
        <w:gridCol w:w="4706"/>
      </w:tblGrid>
      <w:tr>
        <w:tc>
          <w:tcPr>
            <w:tcW w:type="dxa" w:w="4706"/>
            <w:shd w:val="clear" w:color="auto" w:fill="41416E"/>
          </w:tcPr>
          <w:p>
            <w:pPr>
              <w:keepNext/>
            </w:pPr>
            <w:r>
              <w:rPr>
                <w:b/>
                <w:color w:val="FFFFFF"/>
                <w:sz w:val="18"/>
              </w:rPr>
              <w:t>Release field</w:t>
            </w:r>
          </w:p>
        </w:tc>
        <w:tc>
          <w:tcPr>
            <w:tcW w:type="dxa" w:w="4706"/>
            <w:shd w:val="clear" w:color="auto" w:fill="41416E"/>
          </w:tcPr>
          <w:p>
            <w:pPr>
              <w:keepNext/>
            </w:pPr>
            <w:r>
              <w:rPr>
                <w:b/>
                <w:color w:val="FFFFFF"/>
                <w:sz w:val="18"/>
              </w:rPr>
              <w:t>Required meaning</w:t>
            </w:r>
          </w:p>
        </w:tc>
      </w:tr>
      <w:tr>
        <w:tc>
          <w:tcPr>
            <w:tcW w:type="dxa" w:w="4706"/>
          </w:tcPr>
          <w:p>
            <w:pPr>
              <w:keepNext/>
            </w:pPr>
            <w:r>
              <w:rPr>
                <w:sz w:val="18"/>
              </w:rPr>
              <w:t>Feature identifier</w:t>
            </w:r>
          </w:p>
        </w:tc>
        <w:tc>
          <w:tcPr>
            <w:tcW w:type="dxa" w:w="4706"/>
          </w:tcPr>
          <w:p>
            <w:pPr>
              <w:keepNext/>
            </w:pPr>
            <w:r>
              <w:rPr>
                <w:sz w:val="18"/>
              </w:rPr>
              <w:t>Stable link to the annotation used</w:t>
            </w:r>
          </w:p>
        </w:tc>
      </w:tr>
      <w:tr>
        <w:tc>
          <w:tcPr>
            <w:tcW w:type="dxa" w:w="4706"/>
          </w:tcPr>
          <w:p>
            <w:pPr>
              <w:keepNext/>
            </w:pPr>
            <w:r>
              <w:rPr>
                <w:sz w:val="18"/>
              </w:rPr>
              <w:t>Contrast label</w:t>
            </w:r>
          </w:p>
        </w:tc>
        <w:tc>
          <w:tcPr>
            <w:tcW w:type="dxa" w:w="4706"/>
          </w:tcPr>
          <w:p>
            <w:pPr>
              <w:keepNext/>
            </w:pPr>
            <w:r>
              <w:rPr>
                <w:sz w:val="18"/>
              </w:rPr>
              <w:t>Named numerator relative to named denominator</w:t>
            </w:r>
          </w:p>
        </w:tc>
      </w:tr>
      <w:tr>
        <w:tc>
          <w:tcPr>
            <w:tcW w:type="dxa" w:w="4706"/>
          </w:tcPr>
          <w:p>
            <w:pPr>
              <w:keepNext/>
            </w:pPr>
            <w:r>
              <w:rPr>
                <w:sz w:val="18"/>
              </w:rPr>
              <w:t>Log2 fold change</w:t>
            </w:r>
          </w:p>
        </w:tc>
        <w:tc>
          <w:tcPr>
            <w:tcW w:type="dxa" w:w="4706"/>
          </w:tcPr>
          <w:p>
            <w:pPr>
              <w:keepNext/>
            </w:pPr>
            <w:r>
              <w:rPr>
                <w:sz w:val="18"/>
              </w:rPr>
              <w:t>Direction and estimation method stated</w:t>
            </w:r>
          </w:p>
        </w:tc>
      </w:tr>
      <w:tr>
        <w:tc>
          <w:tcPr>
            <w:tcW w:type="dxa" w:w="4706"/>
          </w:tcPr>
          <w:p>
            <w:pPr>
              <w:keepNext/>
            </w:pPr>
            <w:r>
              <w:rPr>
                <w:sz w:val="18"/>
              </w:rPr>
              <w:t>Adjusted probability</w:t>
            </w:r>
          </w:p>
        </w:tc>
        <w:tc>
          <w:tcPr>
            <w:tcW w:type="dxa" w:w="4706"/>
          </w:tcPr>
          <w:p>
            <w:pPr>
              <w:keepNext/>
            </w:pPr>
            <w:r>
              <w:rPr>
                <w:sz w:val="18"/>
              </w:rPr>
              <w:t>Method and test family identified</w:t>
            </w:r>
          </w:p>
        </w:tc>
      </w:tr>
      <w:tr>
        <w:tc>
          <w:tcPr>
            <w:tcW w:type="dxa" w:w="4706"/>
          </w:tcPr>
          <w:p>
            <w:pPr>
              <w:keepNext/>
            </w:pPr>
            <w:r>
              <w:rPr>
                <w:sz w:val="18"/>
              </w:rPr>
              <w:t>Expression context</w:t>
            </w:r>
          </w:p>
        </w:tc>
        <w:tc>
          <w:tcPr>
            <w:tcW w:type="dxa" w:w="4706"/>
          </w:tcPr>
          <w:p>
            <w:pPr>
              <w:keepNext/>
            </w:pPr>
            <w:r>
              <w:rPr>
                <w:sz w:val="18"/>
              </w:rPr>
              <w:t>Measure defined with its units or scale</w:t>
            </w:r>
          </w:p>
        </w:tc>
      </w:tr>
      <w:tr>
        <w:tc>
          <w:tcPr>
            <w:tcW w:type="dxa" w:w="4706"/>
          </w:tcPr>
          <w:p>
            <w:r>
              <w:rPr>
                <w:sz w:val="18"/>
              </w:rPr>
              <w:t>Status or flag</w:t>
            </w:r>
          </w:p>
        </w:tc>
        <w:tc>
          <w:tcPr>
            <w:tcW w:type="dxa" w:w="4706"/>
          </w:tcPr>
          <w:p>
            <w:r>
              <w:rPr>
                <w:sz w:val="18"/>
              </w:rPr>
              <w:t>Reason for missing, filtered or non-estimable values</w:t>
            </w:r>
          </w:p>
        </w:tc>
      </w:tr>
    </w:tbl>
    <w:p/>
    <w:p>
      <w:r>
        <w:t>Missing values shall remain distinguishable from values indicating little evidence of a difference. Explain why a feature was not tested or why an estimate was unavailable. Where an effect-size shrinkage procedure is used, identify which effect estimate appears in the released table and how it relates to the inferential calculation. Do not mix estimates from different procedures under an unqualified column label.</w:t>
      </w:r>
    </w:p>
    <w:p>
      <w:r>
        <w:t>The technical note shall connect the contrasts to the biological question, describe the accepted population and state material uncertainty. Avoid causal claims from an observational comparison. Omics target prioritisation may follow from the contrast, but a feature's differential expression alone does not establish that manipulating it will alter the phenotype.</w:t>
      </w:r>
    </w:p>
    <w:p>
      <w:r>
        <w:br w:type="page"/>
      </w:r>
    </w:p>
    <w:p>
      <w:pPr>
        <w:pStyle w:val="Heading1"/>
        <w:keepNext/>
      </w:pPr>
      <w:r>
        <w:t>8. Reproducibility, independent check and release</w:t>
      </w:r>
    </w:p>
    <w:p>
      <w:r>
        <w:t>The analysis notebook shall connect received files to the final contrast tables through scripts, parameters and intermediate outputs. Record reference and annotation versions, sample ordering, feature filtering, model design, contrast definitions and reporting transformations. Where a step is interactive, record the decision and the file produced so that it is not dependent on the analyst's memory.</w:t>
      </w:r>
    </w:p>
    <w:p>
      <w:pPr>
        <w:pStyle w:val="ListBullet"/>
        <w:keepNext/>
        <w:keepLines/>
      </w:pPr>
      <w:r>
        <w:t>Retain input checksums and the reconciled metadata used by the model.</w:t>
      </w:r>
    </w:p>
    <w:p>
      <w:pPr>
        <w:pStyle w:val="ListBullet"/>
        <w:keepNext/>
        <w:keepLines/>
      </w:pPr>
      <w:r>
        <w:t>Save the executable analysis and the environment information needed to rerun it.</w:t>
      </w:r>
    </w:p>
    <w:p>
      <w:pPr>
        <w:pStyle w:val="ListBullet"/>
        <w:keepNext/>
        <w:keepLines/>
      </w:pPr>
      <w:r>
        <w:t>Record random seeds where an analysis step is stochastic.</w:t>
      </w:r>
    </w:p>
    <w:p>
      <w:pPr>
        <w:pStyle w:val="ListBullet"/>
        <w:keepNext/>
        <w:keepLines/>
      </w:pPr>
      <w:r>
        <w:t>Link diagnostic figures and tables to the same analysis version.</w:t>
      </w:r>
    </w:p>
    <w:p>
      <w:pPr>
        <w:pStyle w:val="ListBullet"/>
        <w:keepLines/>
      </w:pPr>
      <w:r>
        <w:t>Preserve the release directory as delivered and record the delivery date.</w:t>
      </w:r>
    </w:p>
    <w:p>
      <w:r>
        <w:t>The independent checker shall trace a contrast from the target card to the model definition and from the output to the technical note. Check the sign convention against the named conditions, confirm that sample labels correspond to the accepted metadata and ensure that adjusted probabilities refer to the declared test family. Examine table flags and missing values so that the prose does not imply that every listed feature was tested successfully.</w:t>
      </w:r>
    </w:p>
    <w:p>
      <w:r>
        <w:t>The scientific lead authorises release only after the acceptance states, limitations and independent check are complete. Confirm that the release includes a readable contrast description, the appropriate tables and the reproducibility appendix. Internal exploratory outputs shall not enter the delivery directory without an explanation of their status. If delivery is replaced, retain both versions and state the reason for replacement to the recipient.</w:t>
      </w:r>
    </w:p>
    <w:p>
      <w:r>
        <w:t>A rerun need not reproduce every graphical detail to establish the identity of the released analysis, but a substantive difference in the tested population, estimates or adjusted probabilities requires investigation. Record the source of the difference and resolve it before claiming that the contrast is reproducible.</w:t>
      </w:r>
    </w:p>
    <w:p>
      <w:r>
        <w:br w:type="page"/>
      </w:r>
    </w:p>
    <w:p>
      <w:pPr>
        <w:pStyle w:val="Heading1"/>
        <w:keepNext/>
      </w:pPr>
      <w:r>
        <w:t>9. Deviations, retention and working checklist</w:t>
      </w:r>
    </w:p>
    <w:p>
      <w:r>
        <w:t>A departure from this procedure shall be recorded when it occurs. State the affected step, the reason, the potential effect on identity or inference and the action taken. Scientific departures require approval by the scientific lead; procedural departures are referred to Tina Powell. A deviation affecting an already delivered result requires assessment of whether a corrected delivery or clarification is necessary.</w:t>
      </w:r>
    </w:p>
    <w:p>
      <w:r>
        <w:t>Retain received material, reconciliation correspondence, acceptance decisions, scripts, environment information, diagnostic evidence, independent checks and released files together under the engagement accession. Restrict access to staff supporting the engagement. Apply the agreed retention arrangement and controlled archive practice; do not keep the sole reproducibility record in a personal working directory.</w:t>
      </w:r>
    </w:p>
    <w:p>
      <w:pPr>
        <w:keepNext/>
      </w:pPr>
      <w:r>
        <w:rPr>
          <w:b/>
          <w:sz w:val="18"/>
        </w:rPr>
        <w:t>Working checklist; retain dated decisions in the analysis notebook</w:t>
      </w:r>
    </w:p>
    <w:tbl>
      <w:tblPr>
        <w:tblStyle w:val="TableGrid"/>
        <w:tblW w:type="auto" w:w="0"/>
        <w:tblLook w:firstColumn="1" w:firstRow="1" w:lastColumn="0" w:lastRow="0" w:noHBand="0" w:noVBand="1" w:val="04A0"/>
      </w:tblPr>
      <w:tblGrid>
        <w:gridCol w:w="4706"/>
        <w:gridCol w:w="4706"/>
      </w:tblGrid>
      <w:tr>
        <w:tc>
          <w:tcPr>
            <w:tcW w:type="dxa" w:w="4706"/>
            <w:shd w:val="clear" w:color="auto" w:fill="41416E"/>
          </w:tcPr>
          <w:p>
            <w:pPr>
              <w:keepNext/>
            </w:pPr>
            <w:r>
              <w:rPr>
                <w:b/>
                <w:color w:val="FFFFFF"/>
                <w:sz w:val="18"/>
              </w:rPr>
              <w:t>Model gate</w:t>
            </w:r>
          </w:p>
        </w:tc>
        <w:tc>
          <w:tcPr>
            <w:tcW w:type="dxa" w:w="4706"/>
            <w:shd w:val="clear" w:color="auto" w:fill="41416E"/>
          </w:tcPr>
          <w:p>
            <w:pPr>
              <w:keepNext/>
            </w:pPr>
            <w:r>
              <w:rPr>
                <w:b/>
                <w:color w:val="FFFFFF"/>
                <w:sz w:val="18"/>
              </w:rPr>
              <w:t>Evidence required before progression</w:t>
            </w:r>
          </w:p>
        </w:tc>
      </w:tr>
      <w:tr>
        <w:tc>
          <w:tcPr>
            <w:tcW w:type="dxa" w:w="4706"/>
          </w:tcPr>
          <w:p>
            <w:pPr>
              <w:keepNext/>
            </w:pPr>
            <w:r>
              <w:rPr>
                <w:sz w:val="18"/>
              </w:rPr>
              <w:t>Receipt reconciliation</w:t>
            </w:r>
          </w:p>
        </w:tc>
        <w:tc>
          <w:tcPr>
            <w:tcW w:type="dxa" w:w="4706"/>
          </w:tcPr>
          <w:p>
            <w:pPr>
              <w:keepNext/>
            </w:pPr>
            <w:r>
              <w:rPr>
                <w:sz w:val="18"/>
              </w:rPr>
              <w:t>Inventory, provenance, sample mapping and unresolved queries</w:t>
            </w:r>
          </w:p>
        </w:tc>
      </w:tr>
      <w:tr>
        <w:tc>
          <w:tcPr>
            <w:tcW w:type="dxa" w:w="4706"/>
          </w:tcPr>
          <w:p>
            <w:pPr>
              <w:keepNext/>
            </w:pPr>
            <w:r>
              <w:rPr>
                <w:sz w:val="18"/>
              </w:rPr>
              <w:t>Design lock</w:t>
            </w:r>
          </w:p>
        </w:tc>
        <w:tc>
          <w:tcPr>
            <w:tcW w:type="dxa" w:w="4706"/>
          </w:tcPr>
          <w:p>
            <w:pPr>
              <w:keepNext/>
            </w:pPr>
            <w:r>
              <w:rPr>
                <w:sz w:val="18"/>
              </w:rPr>
              <w:t>Biological question, population, covariates and named contrasts</w:t>
            </w:r>
          </w:p>
        </w:tc>
      </w:tr>
      <w:tr>
        <w:tc>
          <w:tcPr>
            <w:tcW w:type="dxa" w:w="4706"/>
          </w:tcPr>
          <w:p>
            <w:pPr>
              <w:keepNext/>
            </w:pPr>
            <w:r>
              <w:rPr>
                <w:sz w:val="18"/>
              </w:rPr>
              <w:t>Data acceptance</w:t>
            </w:r>
          </w:p>
        </w:tc>
        <w:tc>
          <w:tcPr>
            <w:tcW w:type="dxa" w:w="4706"/>
          </w:tcPr>
          <w:p>
            <w:pPr>
              <w:keepNext/>
            </w:pPr>
            <w:r>
              <w:rPr>
                <w:sz w:val="18"/>
              </w:rPr>
              <w:t>Diagnostics, criteria, exclusions and approved limitations</w:t>
            </w:r>
          </w:p>
        </w:tc>
      </w:tr>
      <w:tr>
        <w:tc>
          <w:tcPr>
            <w:tcW w:type="dxa" w:w="4706"/>
          </w:tcPr>
          <w:p>
            <w:pPr>
              <w:keepNext/>
            </w:pPr>
            <w:r>
              <w:rPr>
                <w:sz w:val="18"/>
              </w:rPr>
              <w:t>Batch-effect review</w:t>
            </w:r>
          </w:p>
        </w:tc>
        <w:tc>
          <w:tcPr>
            <w:tcW w:type="dxa" w:w="4706"/>
          </w:tcPr>
          <w:p>
            <w:pPr>
              <w:keepNext/>
            </w:pPr>
            <w:r>
              <w:rPr>
                <w:sz w:val="18"/>
              </w:rPr>
              <w:t>Grouping evidence, estimability and model rationale</w:t>
            </w:r>
          </w:p>
        </w:tc>
      </w:tr>
      <w:tr>
        <w:tc>
          <w:tcPr>
            <w:tcW w:type="dxa" w:w="4706"/>
          </w:tcPr>
          <w:p>
            <w:r>
              <w:rPr>
                <w:sz w:val="18"/>
              </w:rPr>
              <w:t>Release</w:t>
            </w:r>
          </w:p>
        </w:tc>
        <w:tc>
          <w:tcPr>
            <w:tcW w:type="dxa" w:w="4706"/>
          </w:tcPr>
          <w:p>
            <w:r>
              <w:rPr>
                <w:sz w:val="18"/>
              </w:rPr>
              <w:t>Contrast definitions, complete tables, reproducibility appendix and independent check</w:t>
            </w:r>
          </w:p>
        </w:tc>
      </w:tr>
    </w:tbl>
    <w:p/>
    <w:p>
      <w:r>
        <w:t>When an issue is closed, record who resolved it and which evidence supports closure. When it remains open, state whether it blocks the engagement or limits a particular interpretation. The final technical note must carry any limitation that could change the recipient's decision. Completion of this checklist supports release control; it does not replace the scientific assessment of the question and the design.</w:t>
      </w:r>
    </w:p>
    <w:p>
      <w:r>
        <w:t>Approved for controlled use from 16/04/2020. Nadia Rahmani is responsible for maintaining this procedure and collecting proposed revisions. Changes affecting model interpretation shall be reviewed with Tomasz Zawiernicki before a revised version is issued. Controlled copies must identify their version; superseded copies shall be retained as archive material and removed from routine use.</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Nadia Rahmani</w:t>
            </w:r>
          </w:p>
        </w:tc>
        <w:tc>
          <w:tcPr>
            <w:tcW w:type="dxa" w:w="2353"/>
          </w:tcPr>
          <w:p>
            <w:r>
              <w:t>Data Curation and Reproducibility Lead; procedure owner</w:t>
            </w:r>
          </w:p>
        </w:tc>
        <w:tc>
          <w:tcPr>
            <w:tcW w:type="dxa" w:w="2353"/>
          </w:tcPr>
          <w:p>
            <w:r>
              <w:drawing>
                <wp:inline xmlns:a="http://schemas.openxmlformats.org/drawingml/2006/main" xmlns:pic="http://schemas.openxmlformats.org/drawingml/2006/picture">
                  <wp:extent cx="956571"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56571" cy="324000"/>
                          </a:xfrm>
                          <a:prstGeom prst="rect"/>
                        </pic:spPr>
                      </pic:pic>
                    </a:graphicData>
                  </a:graphic>
                </wp:inline>
              </w:drawing>
            </w:r>
          </w:p>
        </w:tc>
        <w:tc>
          <w:tcPr>
            <w:tcW w:type="dxa" w:w="2353"/>
          </w:tcPr>
          <w:p>
            <w:r>
              <w:t>16/04/2020</w:t>
            </w:r>
          </w:p>
        </w:tc>
      </w:tr>
      <w:tr>
        <w:tc>
          <w:tcPr>
            <w:tcW w:type="dxa" w:w="2353"/>
          </w:tcPr>
          <w:p>
            <w:r>
              <w:t>Tomasz Zawiernicki</w:t>
            </w:r>
          </w:p>
        </w:tc>
        <w:tc>
          <w:tcPr>
            <w:tcW w:type="dxa" w:w="2353"/>
          </w:tcPr>
          <w:p>
            <w:r>
              <w:t>Head of Bioinformatics; scientific approval</w:t>
            </w:r>
          </w:p>
        </w:tc>
        <w:tc>
          <w:tcPr>
            <w:tcW w:type="dxa" w:w="2353"/>
          </w:tcPr>
          <w:p>
            <w:r>
              <w:drawing>
                <wp:inline xmlns:a="http://schemas.openxmlformats.org/drawingml/2006/main" xmlns:pic="http://schemas.openxmlformats.org/drawingml/2006/picture">
                  <wp:extent cx="1210235"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10235" cy="324000"/>
                          </a:xfrm>
                          <a:prstGeom prst="rect"/>
                        </pic:spPr>
                      </pic:pic>
                    </a:graphicData>
                  </a:graphic>
                </wp:inline>
              </w:drawing>
            </w:r>
          </w:p>
        </w:tc>
        <w:tc>
          <w:tcPr>
            <w:tcW w:type="dxa" w:w="2353"/>
          </w:tcPr>
          <w:p>
            <w:r>
              <w:t>16/04/2020</w:t>
            </w:r>
          </w:p>
        </w:tc>
      </w:tr>
      <w:tr>
        <w:tc>
          <w:tcPr>
            <w:tcW w:type="dxa" w:w="2353"/>
          </w:tcPr>
          <w:p>
            <w:r>
              <w:t>Tina Powell</w:t>
            </w:r>
          </w:p>
        </w:tc>
        <w:tc>
          <w:tcPr>
            <w:tcW w:type="dxa" w:w="2353"/>
          </w:tcPr>
          <w:p>
            <w:r>
              <w:t>Quality Assurance Manager; controlled issue approval</w:t>
            </w:r>
          </w:p>
        </w:tc>
        <w:tc>
          <w:tcPr>
            <w:tcW w:type="dxa" w:w="2353"/>
          </w:tcPr>
          <w:p>
            <w:r>
              <w:drawing>
                <wp:inline xmlns:a="http://schemas.openxmlformats.org/drawingml/2006/main" xmlns:pic="http://schemas.openxmlformats.org/drawingml/2006/picture">
                  <wp:extent cx="907200" cy="324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07200" cy="324000"/>
                          </a:xfrm>
                          <a:prstGeom prst="rect"/>
                        </pic:spPr>
                      </pic:pic>
                    </a:graphicData>
                  </a:graphic>
                </wp:inline>
              </w:drawing>
            </w:r>
          </w:p>
        </w:tc>
        <w:tc>
          <w:tcPr>
            <w:tcW w:type="dxa" w:w="2353"/>
          </w:tcPr>
          <w:p>
            <w:r>
              <w:t>16/04/2020</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Quenverell Computational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RNA-seq data acceptance | Controlled version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141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141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141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141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Quenverell Computational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RNA-seq data acceptance SOP v3</dc:title>
  <dc:subject/>
  <dc:creator>Nadia Rahmani</dc:creator>
  <cp:keywords/>
  <dc:description>generated by python-docx</dc:description>
  <cp:lastModifiedBy>Nadia Rahmani</cp:lastModifiedBy>
  <cp:revision>15</cp:revision>
  <dcterms:created xsi:type="dcterms:W3CDTF">2020-04-16T10:23:00Z</dcterms:created>
  <dcterms:modified xsi:type="dcterms:W3CDTF">2020-04-16T16:41:00Z</dcterms:modified>
  <cp:category/>
</cp:coreProperties>
</file>