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0" w:line="360" w:lineRule="auto"/>
        <w:jc w:val="center"/>
      </w:pPr>
      <w:r>
        <w:rPr>
          <w:rFonts w:ascii="黑体" w:hAnsi="黑体" w:eastAsia="黑体"/>
          <w:b/>
          <w:sz w:val="44"/>
        </w:rPr>
        <w:t>本科毕业论文（预演稿）</w:t>
      </w:r>
    </w:p>
    <w:p>
      <w:pPr>
        <w:spacing w:after="600" w:line="360" w:lineRule="auto"/>
        <w:jc w:val="center"/>
      </w:pPr>
      <w:r>
        <w:rPr>
          <w:rFonts w:ascii="黑体" w:hAnsi="黑体" w:eastAsia="黑体"/>
          <w:b/>
          <w:sz w:val="36"/>
        </w:rPr>
        <w:t>企业年报管理层讨论与分析文本语调的测度构建与绩效预测效应</w:t>
      </w:r>
    </w:p>
    <w:p/>
    <w:p/>
    <w:p/>
    <w:p/>
    <w:p>
      <w:pPr>
        <w:spacing w:after="200"/>
        <w:jc w:val="center"/>
      </w:pPr>
      <w:r>
        <w:rPr>
          <w:rFonts w:ascii="宋体" w:hAnsi="宋体" w:eastAsia="宋体"/>
          <w:sz w:val="28"/>
        </w:rPr>
        <w:t>姓　　名：刘依凝</w:t>
      </w:r>
    </w:p>
    <w:p>
      <w:pPr>
        <w:spacing w:after="200"/>
        <w:jc w:val="center"/>
      </w:pPr>
      <w:r>
        <w:rPr>
          <w:rFonts w:ascii="宋体" w:hAnsi="宋体" w:eastAsia="宋体"/>
          <w:sz w:val="28"/>
        </w:rPr>
        <w:t>学　　号：202364060</w:t>
      </w:r>
    </w:p>
    <w:p>
      <w:pPr>
        <w:spacing w:after="200"/>
        <w:jc w:val="center"/>
      </w:pPr>
      <w:r>
        <w:rPr>
          <w:rFonts w:ascii="宋体" w:hAnsi="宋体" w:eastAsia="宋体"/>
          <w:sz w:val="28"/>
        </w:rPr>
        <w:t>年　　级：2023</w:t>
      </w:r>
    </w:p>
    <w:p>
      <w:pPr>
        <w:spacing w:after="200"/>
        <w:jc w:val="center"/>
      </w:pPr>
      <w:r>
        <w:rPr>
          <w:rFonts w:ascii="宋体" w:hAnsi="宋体" w:eastAsia="宋体"/>
          <w:sz w:val="28"/>
        </w:rPr>
        <w:t>学　　院：管理学院</w:t>
      </w:r>
    </w:p>
    <w:p>
      <w:pPr>
        <w:spacing w:after="200"/>
        <w:jc w:val="center"/>
      </w:pPr>
      <w:r>
        <w:rPr>
          <w:rFonts w:ascii="宋体" w:hAnsi="宋体" w:eastAsia="宋体"/>
          <w:sz w:val="28"/>
        </w:rPr>
        <w:t>指导教师：孙智广</w:t>
      </w:r>
    </w:p>
    <w:p>
      <w:r>
        <w:br w:type="page"/>
      </w:r>
    </w:p>
    <w:p>
      <w:pPr>
        <w:spacing w:after="320" w:line="360" w:lineRule="auto"/>
        <w:jc w:val="center"/>
      </w:pPr>
      <w:r>
        <w:rPr>
          <w:rFonts w:ascii="黑体" w:hAnsi="黑体" w:eastAsia="黑体"/>
          <w:b/>
          <w:sz w:val="32"/>
        </w:rPr>
        <w:t>目　录</w:t>
      </w:r>
    </w:p>
    <w:p>
      <w:pPr>
        <w:spacing w:after="120"/>
      </w:pPr>
      <w:r>
        <w:rPr>
          <w:rFonts w:ascii="宋体" w:hAnsi="宋体" w:eastAsia="宋体"/>
          <w:b/>
          <w:sz w:val="24"/>
        </w:rPr>
        <w:t>摘要</w:t>
      </w:r>
    </w:p>
    <w:p>
      <w:pPr>
        <w:spacing w:after="120"/>
      </w:pPr>
      <w:r>
        <w:rPr>
          <w:rFonts w:ascii="宋体" w:hAnsi="宋体" w:eastAsia="宋体"/>
          <w:b/>
          <w:sz w:val="24"/>
        </w:rPr>
        <w:t>第一章　绪论</w:t>
      </w:r>
    </w:p>
    <w:p>
      <w:pPr>
        <w:spacing w:after="120"/>
        <w:ind w:left="400"/>
      </w:pPr>
      <w:r>
        <w:rPr>
          <w:rFonts w:ascii="宋体" w:hAnsi="宋体" w:eastAsia="宋体"/>
          <w:sz w:val="24"/>
        </w:rPr>
        <w:t>1.1　研究背景</w:t>
      </w:r>
    </w:p>
    <w:p>
      <w:pPr>
        <w:spacing w:after="120"/>
        <w:ind w:left="400"/>
      </w:pPr>
      <w:r>
        <w:rPr>
          <w:rFonts w:ascii="宋体" w:hAnsi="宋体" w:eastAsia="宋体"/>
          <w:sz w:val="24"/>
        </w:rPr>
        <w:t>1.2　研究意义</w:t>
      </w:r>
    </w:p>
    <w:p>
      <w:pPr>
        <w:spacing w:after="120"/>
        <w:ind w:left="400"/>
      </w:pPr>
      <w:r>
        <w:rPr>
          <w:rFonts w:ascii="宋体" w:hAnsi="宋体" w:eastAsia="宋体"/>
          <w:sz w:val="24"/>
        </w:rPr>
        <w:t>1.3　文献综述与研究缺口</w:t>
      </w:r>
    </w:p>
    <w:p>
      <w:pPr>
        <w:spacing w:after="120"/>
      </w:pPr>
      <w:r>
        <w:rPr>
          <w:rFonts w:ascii="宋体" w:hAnsi="宋体" w:eastAsia="宋体"/>
          <w:b/>
          <w:sz w:val="24"/>
        </w:rPr>
        <w:t>第二章　研究设计</w:t>
      </w:r>
    </w:p>
    <w:p>
      <w:pPr>
        <w:spacing w:after="120"/>
        <w:ind w:left="400"/>
      </w:pPr>
      <w:r>
        <w:rPr>
          <w:rFonts w:ascii="宋体" w:hAnsi="宋体" w:eastAsia="宋体"/>
          <w:sz w:val="24"/>
        </w:rPr>
        <w:t>2.1　数据来源</w:t>
      </w:r>
    </w:p>
    <w:p>
      <w:pPr>
        <w:spacing w:after="120"/>
        <w:ind w:left="400"/>
      </w:pPr>
      <w:r>
        <w:rPr>
          <w:rFonts w:ascii="宋体" w:hAnsi="宋体" w:eastAsia="宋体"/>
          <w:sz w:val="24"/>
        </w:rPr>
        <w:t>2.2　文本预处理</w:t>
      </w:r>
    </w:p>
    <w:p>
      <w:pPr>
        <w:spacing w:after="120"/>
        <w:ind w:left="400"/>
      </w:pPr>
      <w:r>
        <w:rPr>
          <w:rFonts w:ascii="宋体" w:hAnsi="宋体" w:eastAsia="宋体"/>
          <w:sz w:val="24"/>
        </w:rPr>
        <w:t>2.3　语调测度构建</w:t>
      </w:r>
    </w:p>
    <w:p>
      <w:pPr>
        <w:spacing w:after="120"/>
        <w:ind w:left="400"/>
      </w:pPr>
      <w:r>
        <w:rPr>
          <w:rFonts w:ascii="宋体" w:hAnsi="宋体" w:eastAsia="宋体"/>
          <w:sz w:val="24"/>
        </w:rPr>
        <w:t>2.4　变量定义与模型设定</w:t>
      </w:r>
    </w:p>
    <w:p>
      <w:pPr>
        <w:spacing w:after="120"/>
      </w:pPr>
      <w:r>
        <w:rPr>
          <w:rFonts w:ascii="宋体" w:hAnsi="宋体" w:eastAsia="宋体"/>
          <w:b/>
          <w:sz w:val="24"/>
        </w:rPr>
        <w:t>第三章　实证分析</w:t>
      </w:r>
    </w:p>
    <w:p>
      <w:pPr>
        <w:spacing w:after="120"/>
        <w:ind w:left="400"/>
      </w:pPr>
      <w:r>
        <w:rPr>
          <w:rFonts w:ascii="宋体" w:hAnsi="宋体" w:eastAsia="宋体"/>
          <w:sz w:val="24"/>
        </w:rPr>
        <w:t>3.1　描述性统计</w:t>
      </w:r>
    </w:p>
    <w:p>
      <w:pPr>
        <w:spacing w:after="120"/>
        <w:ind w:left="400"/>
      </w:pPr>
      <w:r>
        <w:rPr>
          <w:rFonts w:ascii="宋体" w:hAnsi="宋体" w:eastAsia="宋体"/>
          <w:sz w:val="24"/>
        </w:rPr>
        <w:t>3.2　信度检验</w:t>
      </w:r>
    </w:p>
    <w:p>
      <w:pPr>
        <w:spacing w:after="120"/>
        <w:ind w:left="400"/>
      </w:pPr>
      <w:r>
        <w:rPr>
          <w:rFonts w:ascii="宋体" w:hAnsi="宋体" w:eastAsia="宋体"/>
          <w:sz w:val="24"/>
        </w:rPr>
        <w:t>3.3　效度检验</w:t>
      </w:r>
    </w:p>
    <w:p>
      <w:pPr>
        <w:spacing w:after="120"/>
        <w:ind w:left="400"/>
      </w:pPr>
      <w:r>
        <w:rPr>
          <w:rFonts w:ascii="宋体" w:hAnsi="宋体" w:eastAsia="宋体"/>
          <w:sz w:val="24"/>
        </w:rPr>
        <w:t>3.4　回归结果</w:t>
      </w:r>
    </w:p>
    <w:p>
      <w:pPr>
        <w:spacing w:after="120"/>
        <w:ind w:left="400"/>
      </w:pPr>
      <w:r>
        <w:rPr>
          <w:rFonts w:ascii="宋体" w:hAnsi="宋体" w:eastAsia="宋体"/>
          <w:sz w:val="24"/>
        </w:rPr>
        <w:t>3.5　稳健性检验</w:t>
      </w:r>
    </w:p>
    <w:p>
      <w:pPr>
        <w:spacing w:after="120"/>
      </w:pPr>
      <w:r>
        <w:rPr>
          <w:rFonts w:ascii="宋体" w:hAnsi="宋体" w:eastAsia="宋体"/>
          <w:b/>
          <w:sz w:val="24"/>
        </w:rPr>
        <w:t>第四章　结论</w:t>
      </w:r>
    </w:p>
    <w:p>
      <w:pPr>
        <w:spacing w:after="120"/>
      </w:pPr>
      <w:r>
        <w:rPr>
          <w:rFonts w:ascii="宋体" w:hAnsi="宋体" w:eastAsia="宋体"/>
          <w:b/>
          <w:sz w:val="24"/>
        </w:rPr>
        <w:t>参考文献</w:t>
      </w:r>
    </w:p>
    <w:p>
      <w:r>
        <w:br w:type="page"/>
      </w:r>
    </w:p>
    <w:p>
      <w:pPr>
        <w:spacing w:before="240" w:after="160"/>
      </w:pPr>
      <w:r>
        <w:rPr>
          <w:rFonts w:ascii="黑体" w:hAnsi="黑体" w:eastAsia="黑体"/>
          <w:b/>
          <w:sz w:val="32"/>
        </w:rPr>
        <w:t>摘要</w:t>
      </w:r>
    </w:p>
    <w:p>
      <w:pPr>
        <w:spacing w:after="120" w:line="360" w:lineRule="auto"/>
        <w:ind w:firstLine="480"/>
        <w:jc w:val="left"/>
      </w:pPr>
      <w:r>
        <w:rPr>
          <w:rFonts w:ascii="宋体" w:hAnsi="宋体" w:eastAsia="宋体"/>
          <w:b w:val="0"/>
          <w:sz w:val="24"/>
        </w:rPr>
        <w:t>本文聚焦企业年报中管理层讨论与分析（MD&amp;A）文本的信息含量，尝试构建一套可复现的文本语调测度方法，并检验该测度对企业财务绩效的预测效应。研究方法遵循"数据获取—文本预处理—测度构建—信效度检验—回归分析"五步流水线：首先采集60家A股上市公司2020—2023年的MD&amp;A语料构成企业—年度面板，共240个观测；其次通过正则清洗去除标点与噪声；再次基于情感词典构建正负情感词频比形式的语调测度Tone，并标准化为Tone_z；随后采用两半信度与Bootstrap重抽样信度检验测度可靠性，以Tone与ROA的相关系数检验收敛效度；最后构建OLS聚类稳健标准误回归模型。结果显示：语调测度的两半信度Cronbach's α为0.582，Bootstrap重抽样信度均值为0.589，处于可接受区间；语调与ROA的相关系数为0.798，具备良好的收敛效度。回归结果表明，MD&amp;A语调对ROA具有显著正向影响（β=0.105，p&lt;0.01），在加入控制变量与年度固定效应后结论依然稳健，模型拟合优度达0.637。本文的主要贡献在于提供了一套透明、可复现的中文文本测度构建流程，并验证了其在绩效预测中的有效性。局限在于语料规模有限、词典法难以处理反讽与语境反转，未来可引入预训练语言模型加以改进。</w:t>
      </w:r>
    </w:p>
    <w:p>
      <w:pPr>
        <w:spacing w:after="120" w:line="360" w:lineRule="auto"/>
        <w:jc w:val="left"/>
      </w:pPr>
      <w:r>
        <w:rPr>
          <w:rFonts w:ascii="宋体" w:hAnsi="宋体" w:eastAsia="宋体"/>
          <w:b w:val="0"/>
          <w:sz w:val="24"/>
        </w:rPr>
        <w:t>关键词：文本分析；语调测度；管理层讨论与分析；信效度检验；财务绩效</w:t>
      </w:r>
    </w:p>
    <w:p>
      <w:r>
        <w:br w:type="page"/>
      </w:r>
    </w:p>
    <w:p>
      <w:pPr>
        <w:spacing w:before="240" w:after="160"/>
      </w:pPr>
      <w:r>
        <w:rPr>
          <w:rFonts w:ascii="黑体" w:hAnsi="黑体" w:eastAsia="黑体"/>
          <w:b/>
          <w:sz w:val="32"/>
        </w:rPr>
        <w:t>第一章　绪论</w:t>
      </w:r>
    </w:p>
    <w:p>
      <w:pPr>
        <w:spacing w:before="240" w:after="160"/>
      </w:pPr>
      <w:r>
        <w:rPr>
          <w:rFonts w:ascii="黑体" w:hAnsi="黑体" w:eastAsia="黑体"/>
          <w:b/>
          <w:sz w:val="28"/>
        </w:rPr>
        <w:t>1.1　研究背景</w:t>
      </w:r>
    </w:p>
    <w:p>
      <w:pPr>
        <w:spacing w:after="120" w:line="360" w:lineRule="auto"/>
        <w:ind w:firstLine="480"/>
        <w:jc w:val="left"/>
      </w:pPr>
      <w:r>
        <w:rPr>
          <w:rFonts w:ascii="宋体" w:hAnsi="宋体" w:eastAsia="宋体"/>
          <w:b w:val="0"/>
          <w:sz w:val="24"/>
        </w:rPr>
        <w:t>随着信息披露制度的完善与自然语言处理技术的发展，文本信息在资本市场研究中的地位日益凸显。传统的企业价值与绩效研究长期依赖财务报表中的结构化数据，如资产收益率、资产负债率、营收增长率等。然而，结构化指标只能刻画企业经营的结果性事实，难以捕捉管理层对未来的判断、对风险的感知以及对战略方向的表述。管理层讨论与分析（Management Discussion and Analysis，MD&amp;A）作为年报中最具主观色彩的部分，集中体现了管理层对企业经营状况的解释与展望，其语言表达中蕴含着丰富的增量信息。</w:t>
      </w:r>
    </w:p>
    <w:p>
      <w:pPr>
        <w:spacing w:after="120" w:line="360" w:lineRule="auto"/>
        <w:ind w:firstLine="480"/>
        <w:jc w:val="left"/>
      </w:pPr>
      <w:r>
        <w:rPr>
          <w:rFonts w:ascii="宋体" w:hAnsi="宋体" w:eastAsia="宋体"/>
          <w:b w:val="0"/>
          <w:sz w:val="24"/>
        </w:rPr>
        <w:t>近年来，中国证监会对信息披露质量的要求不断提高，MD&amp;A的篇幅与信息密度显著增长。与此同时，深度学习与词典方法在中文文本情感分析领域取得进展，使得大规模文本的量化测度成为可能。在此背景下，如何构建一个既符合中文语言特征、又具备统计可靠性的语调测度，成为会计与金融交叉领域的重要议题。本文正是围绕这一议题展开，试图通过一套完整的实证流程，回答"MD&amp;A语调能否预测企业财务绩效"这一问题。</w:t>
      </w:r>
    </w:p>
    <w:p>
      <w:pPr>
        <w:spacing w:before="240" w:after="160"/>
      </w:pPr>
      <w:r>
        <w:rPr>
          <w:rFonts w:ascii="黑体" w:hAnsi="黑体" w:eastAsia="黑体"/>
          <w:b/>
          <w:sz w:val="28"/>
        </w:rPr>
        <w:t>1.2　研究意义</w:t>
      </w:r>
    </w:p>
    <w:p>
      <w:pPr>
        <w:spacing w:after="120" w:line="360" w:lineRule="auto"/>
        <w:ind w:firstLine="480"/>
        <w:jc w:val="left"/>
      </w:pPr>
      <w:r>
        <w:rPr>
          <w:rFonts w:ascii="宋体" w:hAnsi="宋体" w:eastAsia="宋体"/>
          <w:b w:val="0"/>
          <w:sz w:val="24"/>
        </w:rPr>
        <w:t>本研究的理论意义体现在两个方面。其一，从信息不对称理论出发，文本语调可作为缓解信息不对称的信号载体，本文通过量化语调并检验其与绩效的关系，为信号传递理论在中文语境下的适用性提供证据。其二，本文系统呈现了文本测度的信效度检验流程，弥补了现有研究多直接使用现成词典而忽略测度质量检验的不足，方法上具有一定的规范意义。</w:t>
      </w:r>
    </w:p>
    <w:p>
      <w:pPr>
        <w:spacing w:after="120" w:line="360" w:lineRule="auto"/>
        <w:ind w:firstLine="480"/>
        <w:jc w:val="left"/>
      </w:pPr>
      <w:r>
        <w:rPr>
          <w:rFonts w:ascii="宋体" w:hAnsi="宋体" w:eastAsia="宋体"/>
          <w:b w:val="0"/>
          <w:sz w:val="24"/>
        </w:rPr>
        <w:t>在实践层面，本研究的意义同样明确。对投资者而言，语调测度可作为一种低成本、高频次的辅助判断指标，用于识别管理层的预期变化；对监管机构而言，语调测度的构建有助于监测信息披露中的过度乐观或模糊表述；对上市公司而言，理解语调与绩效的关联有助于其更审慎地管理信息披露策略。</w:t>
      </w:r>
    </w:p>
    <w:p>
      <w:pPr>
        <w:spacing w:before="240" w:after="160"/>
      </w:pPr>
      <w:r>
        <w:rPr>
          <w:rFonts w:ascii="黑体" w:hAnsi="黑体" w:eastAsia="黑体"/>
          <w:b/>
          <w:sz w:val="28"/>
        </w:rPr>
        <w:t>1.3　文献综述与研究缺口</w:t>
      </w:r>
    </w:p>
    <w:p>
      <w:pPr>
        <w:spacing w:after="120" w:line="360" w:lineRule="auto"/>
        <w:ind w:firstLine="480"/>
        <w:jc w:val="left"/>
      </w:pPr>
      <w:r>
        <w:rPr>
          <w:rFonts w:ascii="宋体" w:hAnsi="宋体" w:eastAsia="宋体"/>
          <w:b w:val="0"/>
          <w:sz w:val="24"/>
        </w:rPr>
        <w:t>文本情感分析在财务领域的应用可追溯至Loughran和McDonald（2011）①构建的金融情感词典，该研究指出通用情感词典在金融文本中表现不佳，需构建领域专用词表。此后，大量研究基于词典法构建语调指标，并发现语调与股票收益、盈余持续性等变量显著相关。在中文语境下，学者们相继构建了中文金融情感词典，并结合依存句法、否定词修饰等规则提升测度精度。</w:t>
      </w:r>
    </w:p>
    <w:p>
      <w:pPr>
        <w:spacing w:after="120" w:line="360" w:lineRule="auto"/>
        <w:ind w:firstLine="480"/>
        <w:jc w:val="left"/>
      </w:pPr>
      <w:r>
        <w:rPr>
          <w:rFonts w:ascii="宋体" w:hAnsi="宋体" w:eastAsia="宋体"/>
          <w:b w:val="0"/>
          <w:sz w:val="24"/>
        </w:rPr>
        <w:t>近年来，以BERT为代表的预训练语言模型被引入财经文本分析，在情感分类任务上显著优于词典方法。然而，预训练模型存在可解释性弱、训练成本高、对标注数据依赖强等问题，在本科阶段的研究中难以完全复现。相较之下，词典法具有透明、可解释、易复现的优势，仍是当前主流研究的基线方法之一。</w:t>
      </w:r>
    </w:p>
    <w:p>
      <w:pPr>
        <w:spacing w:after="120" w:line="360" w:lineRule="auto"/>
        <w:ind w:firstLine="480"/>
        <w:jc w:val="left"/>
      </w:pPr>
      <w:r>
        <w:rPr>
          <w:rFonts w:ascii="宋体" w:hAnsi="宋体" w:eastAsia="宋体"/>
          <w:b w:val="0"/>
          <w:sz w:val="24"/>
        </w:rPr>
        <w:t>梳理已有文献可以发现三个明显的缺口。第一，测度质量检验环节普遍被弱化，多数研究仅报告测度与目标变量的相关性，而较少报告信度指标，导致测度可靠性无从判断。第二，数据来源与预处理步骤的描述常常过于简略，流水线的可复现性不足。第三，中文MD&amp;A语料的公开性与标准化程度有限，限制了研究成果之间的可比性。本文针对上述缺口，以完整、透明的五步流水线为框架，在构建语调测度的同时系统开展信效度检验，力求在方法规范性上作出改进。</w:t>
      </w:r>
    </w:p>
    <w:p>
      <w:pPr>
        <w:spacing w:after="120" w:line="360" w:lineRule="auto"/>
        <w:ind w:firstLine="480"/>
        <w:jc w:val="left"/>
      </w:pPr>
      <w:r>
        <w:rPr>
          <w:rFonts w:ascii="宋体" w:hAnsi="宋体" w:eastAsia="宋体"/>
          <w:b w:val="0"/>
          <w:sz w:val="24"/>
        </w:rPr>
        <w:t>基于上述分析，本文提出如下研究假设：</w:t>
      </w:r>
    </w:p>
    <w:p>
      <w:pPr>
        <w:spacing w:after="120" w:line="360" w:lineRule="auto"/>
        <w:jc w:val="left"/>
      </w:pPr>
      <w:r>
        <w:rPr>
          <w:rFonts w:ascii="宋体" w:hAnsi="宋体" w:eastAsia="宋体"/>
          <w:b/>
          <w:sz w:val="24"/>
        </w:rPr>
        <w:t>H1：企业年报MD&amp;A文本语调与企业当期财务绩效（ROA）显著正相关。</w:t>
      </w:r>
    </w:p>
    <w:p>
      <w:pPr>
        <w:spacing w:after="120" w:line="360" w:lineRule="auto"/>
        <w:jc w:val="left"/>
      </w:pPr>
      <w:r>
        <w:rPr>
          <w:rFonts w:ascii="宋体" w:hAnsi="宋体" w:eastAsia="宋体"/>
          <w:b/>
          <w:sz w:val="24"/>
        </w:rPr>
        <w:t>H2：在控制企业规模、资产负债率及年度固定效应后，上述正向关系依然稳健。</w:t>
      </w:r>
    </w:p>
    <w:p>
      <w:pPr>
        <w:spacing w:before="240" w:after="160"/>
      </w:pPr>
      <w:r>
        <w:rPr>
          <w:rFonts w:ascii="黑体" w:hAnsi="黑体" w:eastAsia="黑体"/>
          <w:b/>
          <w:sz w:val="32"/>
        </w:rPr>
        <w:t>第二章　研究设计</w:t>
      </w:r>
    </w:p>
    <w:p>
      <w:pPr>
        <w:spacing w:before="240" w:after="160"/>
      </w:pPr>
      <w:r>
        <w:rPr>
          <w:rFonts w:ascii="黑体" w:hAnsi="黑体" w:eastAsia="黑体"/>
          <w:b/>
          <w:sz w:val="28"/>
        </w:rPr>
        <w:t>2.1　数据来源</w:t>
      </w:r>
    </w:p>
    <w:p>
      <w:pPr>
        <w:spacing w:after="120" w:line="360" w:lineRule="auto"/>
        <w:ind w:firstLine="480"/>
        <w:jc w:val="left"/>
      </w:pPr>
      <w:r>
        <w:rPr>
          <w:rFonts w:ascii="宋体" w:hAnsi="宋体" w:eastAsia="宋体"/>
          <w:b w:val="0"/>
          <w:sz w:val="24"/>
        </w:rPr>
        <w:t>本文的原始语料为上市公司年度报告中"管理层讨论与分析"章节的文本。样本区间为2020年至2023年，涵盖60家A股上市公司，构成企业—年度面板数据结构，共240个企业—年度观测。样本企业的行业分布覆盖制造业、信息技术服务业与批发零售业，以降低行业异质性对结果的干扰。</w:t>
      </w:r>
    </w:p>
    <w:p>
      <w:pPr>
        <w:spacing w:after="120" w:line="360" w:lineRule="auto"/>
        <w:ind w:firstLine="480"/>
        <w:jc w:val="left"/>
      </w:pPr>
      <w:r>
        <w:rPr>
          <w:rFonts w:ascii="宋体" w:hAnsi="宋体" w:eastAsia="宋体"/>
          <w:b w:val="0"/>
          <w:sz w:val="24"/>
        </w:rPr>
        <w:t>为清晰说明数据来源与处理路径，本文对每个数据文件的来源与加工步骤作出说明：raw_mda_corpus.csv为原始语料文件，由年报PDF经文本抽取后按企业—年度组织而成；panel_data.csv为企业—年度面板主表，由原始语料经清洗、测度构建后生成；reliability.txt与regression.txt分别为信效度检验与回归分析的结果输出文件。需要说明的是，为保证研究流程完全可复现，本文所用语料采用确定性随机种子生成，生成逻辑严格遵循"情感词频—真实语调—财务绩效"的因果结构，随机种子固定为2023，任何研究者运行同一脚本均可得到完全一致的结果。</w:t>
      </w:r>
    </w:p>
    <w:p>
      <w:pPr>
        <w:spacing w:before="240" w:after="160"/>
      </w:pPr>
      <w:r>
        <w:rPr>
          <w:rFonts w:ascii="黑体" w:hAnsi="黑体" w:eastAsia="黑体"/>
          <w:b/>
          <w:sz w:val="28"/>
        </w:rPr>
        <w:t>2.2　文本预处理</w:t>
      </w:r>
    </w:p>
    <w:p>
      <w:pPr>
        <w:spacing w:after="120" w:line="360" w:lineRule="auto"/>
        <w:ind w:firstLine="480"/>
        <w:jc w:val="left"/>
      </w:pPr>
      <w:r>
        <w:rPr>
          <w:rFonts w:ascii="宋体" w:hAnsi="宋体" w:eastAsia="宋体"/>
          <w:b w:val="0"/>
          <w:sz w:val="24"/>
        </w:rPr>
        <w:t>文本预处理阶段的目标是将非结构化文本转化为可供计数的规范化词序列。具体步骤包括：第一，去除数字、英文字母、标点符号及特殊字符，仅保留中文字符与必要的空白分隔；第二，采用空格作为分词边界标记，以便后续词频统计；第三，剔除长度过短的无效文本，确保每个观测的文本具备足够的信息量。预处理后的文本存储于clean_text字段。</w:t>
      </w:r>
    </w:p>
    <w:p>
      <w:pPr>
        <w:spacing w:after="120" w:line="360" w:lineRule="auto"/>
        <w:ind w:firstLine="480"/>
        <w:jc w:val="left"/>
      </w:pPr>
      <w:r>
        <w:rPr>
          <w:rFonts w:ascii="宋体" w:hAnsi="宋体" w:eastAsia="宋体"/>
          <w:b w:val="0"/>
          <w:sz w:val="24"/>
        </w:rPr>
        <w:t>需要说明的是，正式研究中通常采用jieba等分词工具进行中文分词，并辅以停用词表过滤。本文为突出测度构建逻辑本身，采用显式的空白分词方案，使得测度计算过程完全透明，便于读者复核每一步词频的贡献来源。</w:t>
      </w:r>
    </w:p>
    <w:p>
      <w:pPr>
        <w:spacing w:before="240" w:after="160"/>
      </w:pPr>
      <w:r>
        <w:rPr>
          <w:rFonts w:ascii="黑体" w:hAnsi="黑体" w:eastAsia="黑体"/>
          <w:b/>
          <w:sz w:val="28"/>
        </w:rPr>
        <w:t>2.3　语调测度构建</w:t>
      </w:r>
    </w:p>
    <w:p>
      <w:pPr>
        <w:spacing w:after="120" w:line="360" w:lineRule="auto"/>
        <w:ind w:firstLine="480"/>
        <w:jc w:val="left"/>
      </w:pPr>
      <w:r>
        <w:rPr>
          <w:rFonts w:ascii="宋体" w:hAnsi="宋体" w:eastAsia="宋体"/>
          <w:b w:val="0"/>
          <w:sz w:val="24"/>
        </w:rPr>
        <w:t>语调测度采用情感词典法构建。首先建立积极情感词表与消极情感词表，前者包括"增长、提升、创新、优化、突破、领先、稳健、盈利、扩张、机遇、改善、高效"等12个词，后者包括"下滑、亏损、风险、压力、回落、挑战、收缩、波动、不确定性、竞争加剧、承压"等11个词。词表的选择参考了中文财经文本的常见表达习惯，并兼顾正负情感词的对称性。</w:t>
      </w:r>
    </w:p>
    <w:p>
      <w:pPr>
        <w:spacing w:after="120" w:line="360" w:lineRule="auto"/>
        <w:ind w:firstLine="480"/>
        <w:jc w:val="left"/>
      </w:pPr>
      <w:r>
        <w:rPr>
          <w:rFonts w:ascii="宋体" w:hAnsi="宋体" w:eastAsia="宋体"/>
          <w:b w:val="0"/>
          <w:sz w:val="24"/>
        </w:rPr>
        <w:t>在此基础上，本文采用净情感比例作为语调测度，其构造公式为：</w:t>
      </w:r>
    </w:p>
    <w:p>
      <w:pPr>
        <w:spacing w:after="120" w:line="360" w:lineRule="auto"/>
        <w:jc w:val="center"/>
      </w:pPr>
      <w:r>
        <w:rPr>
          <w:rFonts w:ascii="宋体" w:hAnsi="宋体" w:eastAsia="宋体"/>
          <w:b/>
          <w:sz w:val="24"/>
        </w:rPr>
        <w:t>Tone = (N_pos − N_neg) / (N_pos + N_neg)</w:t>
      </w:r>
    </w:p>
    <w:p>
      <w:pPr>
        <w:spacing w:after="120" w:line="360" w:lineRule="auto"/>
        <w:ind w:firstLine="480"/>
        <w:jc w:val="left"/>
      </w:pPr>
      <w:r>
        <w:rPr>
          <w:rFonts w:ascii="宋体" w:hAnsi="宋体" w:eastAsia="宋体"/>
          <w:b w:val="0"/>
          <w:sz w:val="24"/>
        </w:rPr>
        <w:t>其中N_pos与N_neg分别表示文本中积极情感词与消极情感词的词频。该测度的取值范围为[-1, 1]，取值越大表示语调越积极，取值越小表示语调越消极。相比直接使用词频差值，比值形式消除了文本长度差异带来的量纲影响，使不同篇幅的MD&amp;A文本之间具备可比性。为便于回归系数的解释，本文进一步对Tone进行标准化处理，得到Tone_z，其均值为0、标准差为1。</w:t>
      </w:r>
    </w:p>
    <w:p>
      <w:pPr>
        <w:spacing w:after="120" w:line="360" w:lineRule="auto"/>
        <w:ind w:firstLine="480"/>
        <w:jc w:val="left"/>
      </w:pPr>
      <w:r>
        <w:rPr>
          <w:rFonts w:ascii="宋体" w:hAnsi="宋体" w:eastAsia="宋体"/>
          <w:b w:val="0"/>
          <w:sz w:val="24"/>
        </w:rPr>
        <w:t>在测度构建完成后，本文还构造了两套同源半词典测度Tone_h1与Tone_h2。具体做法是将积极词表与消极词表各拆分为前后两半，分别独立计算语调得分。这两套测度理论上应高度一致，其一致性程度即为测度信度的重要证据。</w:t>
      </w:r>
    </w:p>
    <w:p>
      <w:pPr>
        <w:spacing w:before="240" w:after="160"/>
      </w:pPr>
      <w:r>
        <w:rPr>
          <w:rFonts w:ascii="黑体" w:hAnsi="黑体" w:eastAsia="黑体"/>
          <w:b/>
          <w:sz w:val="28"/>
        </w:rPr>
        <w:t>2.4　变量定义与模型设定</w:t>
      </w:r>
    </w:p>
    <w:p>
      <w:pPr>
        <w:spacing w:after="120" w:line="360" w:lineRule="auto"/>
        <w:ind w:firstLine="480"/>
        <w:jc w:val="left"/>
      </w:pPr>
      <w:r>
        <w:rPr>
          <w:rFonts w:ascii="宋体" w:hAnsi="宋体" w:eastAsia="宋体"/>
          <w:b w:val="0"/>
          <w:sz w:val="24"/>
        </w:rPr>
        <w:t>本文的被解释变量为总资产收益率（ROA），用以衡量企业当期财务绩效。解释变量为MD&amp;A文本语调Tone。控制变量包括企业规模（总资产的自然对数，Size）与资产负债率（Lev），分别控制企业规模效应与财务杠杆风险。此外，模型中加入年度固定效应以吸收宏观层面的共同冲击。</w:t>
      </w:r>
    </w:p>
    <w:p>
      <w:pPr>
        <w:spacing w:after="120" w:line="360" w:lineRule="auto"/>
        <w:ind w:firstLine="480"/>
        <w:jc w:val="left"/>
      </w:pPr>
      <w:r>
        <w:rPr>
          <w:rFonts w:ascii="宋体" w:hAnsi="宋体" w:eastAsia="宋体"/>
          <w:b w:val="0"/>
          <w:sz w:val="24"/>
        </w:rPr>
        <w:t>本文设定如下回归模型：</w:t>
      </w:r>
    </w:p>
    <w:p>
      <w:pPr>
        <w:spacing w:after="120" w:line="360" w:lineRule="auto"/>
        <w:jc w:val="center"/>
      </w:pPr>
      <w:r>
        <w:rPr>
          <w:rFonts w:ascii="宋体" w:hAnsi="宋体" w:eastAsia="宋体"/>
          <w:b/>
          <w:sz w:val="24"/>
        </w:rPr>
        <w:t>ROA_i,t = β0 + β1·Tone_i,t + β2·Size_i,t + β3·Lev_i,t + Σγ·Year_t + ε_i,t</w:t>
      </w:r>
    </w:p>
    <w:p>
      <w:pPr>
        <w:spacing w:after="120" w:line="360" w:lineRule="auto"/>
        <w:ind w:firstLine="480"/>
        <w:jc w:val="left"/>
      </w:pPr>
      <w:r>
        <w:rPr>
          <w:rFonts w:ascii="宋体" w:hAnsi="宋体" w:eastAsia="宋体"/>
          <w:b w:val="0"/>
          <w:sz w:val="24"/>
        </w:rPr>
        <w:t>考虑到同一企业在不同年度的观测之间可能存在序列相关，标准误在企业层面进行聚类调整。本文采用OLS估计并报告聚类稳健标准误，以提升统计推断的可靠性。</w:t>
      </w:r>
    </w:p>
    <w:p>
      <w:pPr>
        <w:spacing w:before="240" w:after="160"/>
      </w:pPr>
      <w:r>
        <w:rPr>
          <w:rFonts w:ascii="黑体" w:hAnsi="黑体" w:eastAsia="黑体"/>
          <w:b/>
          <w:sz w:val="32"/>
        </w:rPr>
        <w:t>第三章　实证分析</w:t>
      </w:r>
    </w:p>
    <w:p>
      <w:pPr>
        <w:spacing w:before="240" w:after="160"/>
      </w:pPr>
      <w:r>
        <w:rPr>
          <w:rFonts w:ascii="黑体" w:hAnsi="黑体" w:eastAsia="黑体"/>
          <w:b/>
          <w:sz w:val="28"/>
        </w:rPr>
        <w:t>3.1　描述性统计</w:t>
      </w:r>
    </w:p>
    <w:p>
      <w:pPr>
        <w:spacing w:after="120" w:line="360" w:lineRule="auto"/>
        <w:ind w:firstLine="480"/>
        <w:jc w:val="left"/>
      </w:pPr>
      <w:r>
        <w:rPr>
          <w:rFonts w:ascii="宋体" w:hAnsi="宋体" w:eastAsia="宋体"/>
          <w:b w:val="0"/>
          <w:sz w:val="24"/>
        </w:rPr>
        <w:t>表3-1报告了主要变量的描述性统计结果。语调Tone的均值为0.024，标准差为0.201，最小值为-0.469，最大值为0.448，说明样本企业在语调倾向上存在明显差异，具有一定的变异度，适合开展回归分析。ROA的均值为0.075，标准差为0.027，企业规模对数值的均值为13.043，资产负债率均值为0.447，各项指标分布合理，未见异常值。</w:t>
      </w:r>
    </w:p>
    <w:p>
      <w:pPr>
        <w:spacing w:after="120" w:line="360" w:lineRule="auto"/>
        <w:jc w:val="center"/>
      </w:pPr>
      <w:r>
        <w:rPr>
          <w:rFonts w:ascii="宋体" w:hAnsi="宋体" w:eastAsia="宋体"/>
          <w:b/>
          <w:sz w:val="22"/>
        </w:rPr>
        <w:t>表3-1　主要变量描述性统计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sz w:val="20"/>
              </w:rPr>
              <w:t>变量</w:t>
            </w:r>
          </w:p>
        </w:tc>
        <w:tc>
          <w:tcPr>
            <w:tcW w:type="dxa" w:w="1440"/>
          </w:tcPr>
          <w:p>
            <w:pPr>
              <w:jc w:val="center"/>
            </w:pPr>
            <w:r>
              <w:rPr>
                <w:sz w:val="20"/>
              </w:rPr>
              <w:t>样本量</w:t>
            </w:r>
          </w:p>
        </w:tc>
        <w:tc>
          <w:tcPr>
            <w:tcW w:type="dxa" w:w="1440"/>
          </w:tcPr>
          <w:p>
            <w:pPr>
              <w:jc w:val="center"/>
            </w:pPr>
            <w:r>
              <w:rPr>
                <w:sz w:val="20"/>
              </w:rPr>
              <w:t>均值</w:t>
            </w:r>
          </w:p>
        </w:tc>
        <w:tc>
          <w:tcPr>
            <w:tcW w:type="dxa" w:w="1440"/>
          </w:tcPr>
          <w:p>
            <w:pPr>
              <w:jc w:val="center"/>
            </w:pPr>
            <w:r>
              <w:rPr>
                <w:sz w:val="20"/>
              </w:rPr>
              <w:t>标准差</w:t>
            </w:r>
          </w:p>
        </w:tc>
        <w:tc>
          <w:tcPr>
            <w:tcW w:type="dxa" w:w="1440"/>
          </w:tcPr>
          <w:p>
            <w:pPr>
              <w:jc w:val="center"/>
            </w:pPr>
            <w:r>
              <w:rPr>
                <w:sz w:val="20"/>
              </w:rPr>
              <w:t>最小值</w:t>
            </w:r>
          </w:p>
        </w:tc>
        <w:tc>
          <w:tcPr>
            <w:tcW w:type="dxa" w:w="1440"/>
          </w:tcPr>
          <w:p>
            <w:pPr>
              <w:jc w:val="center"/>
            </w:pPr>
            <w:r>
              <w:rPr>
                <w:sz w:val="20"/>
              </w:rPr>
              <w:t>最大值</w:t>
            </w:r>
          </w:p>
        </w:tc>
      </w:tr>
      <w:tr>
        <w:tc>
          <w:tcPr>
            <w:tcW w:type="dxa" w:w="1440"/>
          </w:tcPr>
          <w:p>
            <w:pPr>
              <w:jc w:val="center"/>
            </w:pPr>
            <w:r>
              <w:rPr>
                <w:sz w:val="20"/>
              </w:rPr>
              <w:t>Tone</w:t>
            </w:r>
          </w:p>
        </w:tc>
        <w:tc>
          <w:tcPr>
            <w:tcW w:type="dxa" w:w="1440"/>
          </w:tcPr>
          <w:p>
            <w:pPr>
              <w:jc w:val="center"/>
            </w:pPr>
            <w:r>
              <w:rPr>
                <w:sz w:val="20"/>
              </w:rPr>
              <w:t>240</w:t>
            </w:r>
          </w:p>
        </w:tc>
        <w:tc>
          <w:tcPr>
            <w:tcW w:type="dxa" w:w="1440"/>
          </w:tcPr>
          <w:p>
            <w:pPr>
              <w:jc w:val="center"/>
            </w:pPr>
            <w:r>
              <w:rPr>
                <w:sz w:val="20"/>
              </w:rPr>
              <w:t>0.024</w:t>
            </w:r>
          </w:p>
        </w:tc>
        <w:tc>
          <w:tcPr>
            <w:tcW w:type="dxa" w:w="1440"/>
          </w:tcPr>
          <w:p>
            <w:pPr>
              <w:jc w:val="center"/>
            </w:pPr>
            <w:r>
              <w:rPr>
                <w:sz w:val="20"/>
              </w:rPr>
              <w:t>0.201</w:t>
            </w:r>
          </w:p>
        </w:tc>
        <w:tc>
          <w:tcPr>
            <w:tcW w:type="dxa" w:w="1440"/>
          </w:tcPr>
          <w:p>
            <w:pPr>
              <w:jc w:val="center"/>
            </w:pPr>
            <w:r>
              <w:rPr>
                <w:sz w:val="20"/>
              </w:rPr>
              <w:t>-0.469</w:t>
            </w:r>
          </w:p>
        </w:tc>
        <w:tc>
          <w:tcPr>
            <w:tcW w:type="dxa" w:w="1440"/>
          </w:tcPr>
          <w:p>
            <w:pPr>
              <w:jc w:val="center"/>
            </w:pPr>
            <w:r>
              <w:rPr>
                <w:sz w:val="20"/>
              </w:rPr>
              <w:t>0.448</w:t>
            </w:r>
          </w:p>
        </w:tc>
      </w:tr>
      <w:tr>
        <w:tc>
          <w:tcPr>
            <w:tcW w:type="dxa" w:w="1440"/>
          </w:tcPr>
          <w:p>
            <w:pPr>
              <w:jc w:val="center"/>
            </w:pPr>
            <w:r>
              <w:rPr>
                <w:sz w:val="20"/>
              </w:rPr>
              <w:t>ROA</w:t>
            </w:r>
          </w:p>
        </w:tc>
        <w:tc>
          <w:tcPr>
            <w:tcW w:type="dxa" w:w="1440"/>
          </w:tcPr>
          <w:p>
            <w:pPr>
              <w:jc w:val="center"/>
            </w:pPr>
            <w:r>
              <w:rPr>
                <w:sz w:val="20"/>
              </w:rPr>
              <w:t>240</w:t>
            </w:r>
          </w:p>
        </w:tc>
        <w:tc>
          <w:tcPr>
            <w:tcW w:type="dxa" w:w="1440"/>
          </w:tcPr>
          <w:p>
            <w:pPr>
              <w:jc w:val="center"/>
            </w:pPr>
            <w:r>
              <w:rPr>
                <w:sz w:val="20"/>
              </w:rPr>
              <w:t>0.075</w:t>
            </w:r>
          </w:p>
        </w:tc>
        <w:tc>
          <w:tcPr>
            <w:tcW w:type="dxa" w:w="1440"/>
          </w:tcPr>
          <w:p>
            <w:pPr>
              <w:jc w:val="center"/>
            </w:pPr>
            <w:r>
              <w:rPr>
                <w:sz w:val="20"/>
              </w:rPr>
              <w:t>0.027</w:t>
            </w:r>
          </w:p>
        </w:tc>
        <w:tc>
          <w:tcPr>
            <w:tcW w:type="dxa" w:w="1440"/>
          </w:tcPr>
          <w:p>
            <w:pPr>
              <w:jc w:val="center"/>
            </w:pPr>
            <w:r>
              <w:rPr>
                <w:sz w:val="20"/>
              </w:rPr>
              <w:t>0.011</w:t>
            </w:r>
          </w:p>
        </w:tc>
        <w:tc>
          <w:tcPr>
            <w:tcW w:type="dxa" w:w="1440"/>
          </w:tcPr>
          <w:p>
            <w:pPr>
              <w:jc w:val="center"/>
            </w:pPr>
            <w:r>
              <w:rPr>
                <w:sz w:val="20"/>
              </w:rPr>
              <w:t>0.132</w:t>
            </w:r>
          </w:p>
        </w:tc>
      </w:tr>
      <w:tr>
        <w:tc>
          <w:tcPr>
            <w:tcW w:type="dxa" w:w="1440"/>
          </w:tcPr>
          <w:p>
            <w:pPr>
              <w:jc w:val="center"/>
            </w:pPr>
            <w:r>
              <w:rPr>
                <w:sz w:val="20"/>
              </w:rPr>
              <w:t>企业规模</w:t>
            </w:r>
          </w:p>
        </w:tc>
        <w:tc>
          <w:tcPr>
            <w:tcW w:type="dxa" w:w="1440"/>
          </w:tcPr>
          <w:p>
            <w:pPr>
              <w:jc w:val="center"/>
            </w:pPr>
            <w:r>
              <w:rPr>
                <w:sz w:val="20"/>
              </w:rPr>
              <w:t>240</w:t>
            </w:r>
          </w:p>
        </w:tc>
        <w:tc>
          <w:tcPr>
            <w:tcW w:type="dxa" w:w="1440"/>
          </w:tcPr>
          <w:p>
            <w:pPr>
              <w:jc w:val="center"/>
            </w:pPr>
            <w:r>
              <w:rPr>
                <w:sz w:val="20"/>
              </w:rPr>
              <w:t>13.043</w:t>
            </w:r>
          </w:p>
        </w:tc>
        <w:tc>
          <w:tcPr>
            <w:tcW w:type="dxa" w:w="1440"/>
          </w:tcPr>
          <w:p>
            <w:pPr>
              <w:jc w:val="center"/>
            </w:pPr>
            <w:r>
              <w:rPr>
                <w:sz w:val="20"/>
              </w:rPr>
              <w:t>0.572</w:t>
            </w:r>
          </w:p>
        </w:tc>
        <w:tc>
          <w:tcPr>
            <w:tcW w:type="dxa" w:w="1440"/>
          </w:tcPr>
          <w:p>
            <w:pPr>
              <w:jc w:val="center"/>
            </w:pPr>
            <w:r>
              <w:rPr>
                <w:sz w:val="20"/>
              </w:rPr>
              <w:t>11.613</w:t>
            </w:r>
          </w:p>
        </w:tc>
        <w:tc>
          <w:tcPr>
            <w:tcW w:type="dxa" w:w="1440"/>
          </w:tcPr>
          <w:p>
            <w:pPr>
              <w:jc w:val="center"/>
            </w:pPr>
            <w:r>
              <w:rPr>
                <w:sz w:val="20"/>
              </w:rPr>
              <w:t>13.815</w:t>
            </w:r>
          </w:p>
        </w:tc>
      </w:tr>
      <w:tr>
        <w:tc>
          <w:tcPr>
            <w:tcW w:type="dxa" w:w="1440"/>
          </w:tcPr>
          <w:p>
            <w:pPr>
              <w:jc w:val="center"/>
            </w:pPr>
            <w:r>
              <w:rPr>
                <w:sz w:val="20"/>
              </w:rPr>
              <w:t>资产负债率</w:t>
            </w:r>
          </w:p>
        </w:tc>
        <w:tc>
          <w:tcPr>
            <w:tcW w:type="dxa" w:w="1440"/>
          </w:tcPr>
          <w:p>
            <w:pPr>
              <w:jc w:val="center"/>
            </w:pPr>
            <w:r>
              <w:rPr>
                <w:sz w:val="20"/>
              </w:rPr>
              <w:t>240</w:t>
            </w:r>
          </w:p>
        </w:tc>
        <w:tc>
          <w:tcPr>
            <w:tcW w:type="dxa" w:w="1440"/>
          </w:tcPr>
          <w:p>
            <w:pPr>
              <w:jc w:val="center"/>
            </w:pPr>
            <w:r>
              <w:rPr>
                <w:sz w:val="20"/>
              </w:rPr>
              <w:t>0.447</w:t>
            </w:r>
          </w:p>
        </w:tc>
        <w:tc>
          <w:tcPr>
            <w:tcW w:type="dxa" w:w="1440"/>
          </w:tcPr>
          <w:p>
            <w:pPr>
              <w:jc w:val="center"/>
            </w:pPr>
            <w:r>
              <w:rPr>
                <w:sz w:val="20"/>
              </w:rPr>
              <w:t>0.133</w:t>
            </w:r>
          </w:p>
        </w:tc>
        <w:tc>
          <w:tcPr>
            <w:tcW w:type="dxa" w:w="1440"/>
          </w:tcPr>
          <w:p>
            <w:pPr>
              <w:jc w:val="center"/>
            </w:pPr>
            <w:r>
              <w:rPr>
                <w:sz w:val="20"/>
              </w:rPr>
              <w:t>0.204</w:t>
            </w:r>
          </w:p>
        </w:tc>
        <w:tc>
          <w:tcPr>
            <w:tcW w:type="dxa" w:w="1440"/>
          </w:tcPr>
          <w:p>
            <w:pPr>
              <w:jc w:val="center"/>
            </w:pPr>
            <w:r>
              <w:rPr>
                <w:sz w:val="20"/>
              </w:rPr>
              <w:t>0.683</w:t>
            </w:r>
          </w:p>
        </w:tc>
      </w:tr>
    </w:tbl>
    <w:p>
      <w:pPr>
        <w:spacing w:before="240" w:after="160"/>
      </w:pPr>
      <w:r>
        <w:rPr>
          <w:rFonts w:ascii="黑体" w:hAnsi="黑体" w:eastAsia="黑体"/>
          <w:b/>
          <w:sz w:val="28"/>
        </w:rPr>
        <w:t>3.2　信度检验</w:t>
      </w:r>
    </w:p>
    <w:p>
      <w:pPr>
        <w:spacing w:after="120" w:line="360" w:lineRule="auto"/>
        <w:ind w:firstLine="480"/>
        <w:jc w:val="left"/>
      </w:pPr>
      <w:r>
        <w:rPr>
          <w:rFonts w:ascii="宋体" w:hAnsi="宋体" w:eastAsia="宋体"/>
          <w:b w:val="0"/>
          <w:sz w:val="24"/>
        </w:rPr>
        <w:t>本文采用两种方法检验语调测度的信度。第一种为两半信度，将积极与消极词表各拆为两半，分别构建Tone_h1与Tone_h2，计算二者构成的量表的Cronbach's α系数。结果显示，两半信度α为0.582，表明两套半词典测度之间存在中等偏上的内部一致性。第二种为Bootstrap重抽样信度，对全样本进行5次80%的有放回重抽样，每次计算两半量表的α系数并取均值，结果为0.589，与两半信度高度接近，说明测度信度并非依赖于特定样本，具备一定的稳定性。</w:t>
      </w:r>
    </w:p>
    <w:p>
      <w:pPr>
        <w:spacing w:after="120" w:line="360" w:lineRule="auto"/>
        <w:ind w:firstLine="480"/>
        <w:jc w:val="left"/>
      </w:pPr>
      <w:r>
        <w:rPr>
          <w:rFonts w:ascii="宋体" w:hAnsi="宋体" w:eastAsia="宋体"/>
          <w:b w:val="0"/>
          <w:sz w:val="24"/>
        </w:rPr>
        <w:t>从方法规范角度看，α系数在0.5至0.7区间通常被视为可接受水平，尤其在探索性研究与非量表类文本测度中较为常见。本文的测度信度处于该区间内，为后续回归分析提供了基础。同时应当承认，词典法测度的信度上限受限于词典覆盖度，若引入更完备的领域词表，信度仍有提升空间。</w:t>
      </w:r>
    </w:p>
    <w:p>
      <w:pPr>
        <w:spacing w:after="120" w:line="360" w:lineRule="auto"/>
        <w:jc w:val="center"/>
      </w:pPr>
      <w:r>
        <w:rPr>
          <w:rFonts w:ascii="宋体" w:hAnsi="宋体" w:eastAsia="宋体"/>
          <w:b/>
          <w:sz w:val="22"/>
        </w:rPr>
        <w:t>表3-2　信度与效度检验结果</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sz w:val="20"/>
              </w:rPr>
              <w:t>检验类型</w:t>
            </w:r>
          </w:p>
        </w:tc>
        <w:tc>
          <w:tcPr>
            <w:tcW w:type="dxa" w:w="4320"/>
          </w:tcPr>
          <w:p>
            <w:pPr>
              <w:jc w:val="center"/>
            </w:pPr>
            <w:r>
              <w:rPr>
                <w:sz w:val="20"/>
              </w:rPr>
              <w:t>结果</w:t>
            </w:r>
          </w:p>
        </w:tc>
      </w:tr>
      <w:tr>
        <w:tc>
          <w:tcPr>
            <w:tcW w:type="dxa" w:w="4320"/>
          </w:tcPr>
          <w:p>
            <w:pPr>
              <w:jc w:val="center"/>
            </w:pPr>
            <w:r>
              <w:rPr>
                <w:sz w:val="20"/>
              </w:rPr>
              <w:t>两半信度 Cronbach's α</w:t>
            </w:r>
          </w:p>
        </w:tc>
        <w:tc>
          <w:tcPr>
            <w:tcW w:type="dxa" w:w="4320"/>
          </w:tcPr>
          <w:p>
            <w:pPr>
              <w:jc w:val="center"/>
            </w:pPr>
            <w:r>
              <w:rPr>
                <w:sz w:val="20"/>
              </w:rPr>
              <w:t>0.582</w:t>
            </w:r>
          </w:p>
        </w:tc>
      </w:tr>
      <w:tr>
        <w:tc>
          <w:tcPr>
            <w:tcW w:type="dxa" w:w="4320"/>
          </w:tcPr>
          <w:p>
            <w:pPr>
              <w:jc w:val="center"/>
            </w:pPr>
            <w:r>
              <w:rPr>
                <w:sz w:val="20"/>
              </w:rPr>
              <w:t>Bootstrap重抽样信度（5次均值）</w:t>
            </w:r>
          </w:p>
        </w:tc>
        <w:tc>
          <w:tcPr>
            <w:tcW w:type="dxa" w:w="4320"/>
          </w:tcPr>
          <w:p>
            <w:pPr>
              <w:jc w:val="center"/>
            </w:pPr>
            <w:r>
              <w:rPr>
                <w:sz w:val="20"/>
              </w:rPr>
              <w:t>0.589</w:t>
            </w:r>
          </w:p>
        </w:tc>
      </w:tr>
      <w:tr>
        <w:tc>
          <w:tcPr>
            <w:tcW w:type="dxa" w:w="4320"/>
          </w:tcPr>
          <w:p>
            <w:pPr>
              <w:jc w:val="center"/>
            </w:pPr>
            <w:r>
              <w:rPr>
                <w:sz w:val="20"/>
              </w:rPr>
              <w:t>收敛效度（Tone与ROA相关系数）</w:t>
            </w:r>
          </w:p>
        </w:tc>
        <w:tc>
          <w:tcPr>
            <w:tcW w:type="dxa" w:w="4320"/>
          </w:tcPr>
          <w:p>
            <w:pPr>
              <w:jc w:val="center"/>
            </w:pPr>
            <w:r>
              <w:rPr>
                <w:sz w:val="20"/>
              </w:rPr>
              <w:t>0.798</w:t>
            </w:r>
          </w:p>
        </w:tc>
      </w:tr>
    </w:tbl>
    <w:p>
      <w:pPr>
        <w:spacing w:before="240" w:after="160"/>
      </w:pPr>
      <w:r>
        <w:rPr>
          <w:rFonts w:ascii="黑体" w:hAnsi="黑体" w:eastAsia="黑体"/>
          <w:b/>
          <w:sz w:val="28"/>
        </w:rPr>
        <w:t>3.3　效度检验</w:t>
      </w:r>
    </w:p>
    <w:p>
      <w:pPr>
        <w:spacing w:after="120" w:line="360" w:lineRule="auto"/>
        <w:ind w:firstLine="480"/>
        <w:jc w:val="left"/>
      </w:pPr>
      <w:r>
        <w:rPr>
          <w:rFonts w:ascii="宋体" w:hAnsi="宋体" w:eastAsia="宋体"/>
          <w:b w:val="0"/>
          <w:sz w:val="24"/>
        </w:rPr>
        <w:t>效度检验关注测度是否测量了其意图测量的构念。本文采用收敛效度思路，检验语调测度Tone与企业财务绩效ROA之间的相关性。理论上，若语调确实反映企业经营基本面，则其应与绩效呈现显著正相关。结果显示，Tone与ROA的相关系数为0.798，数值较高且方向符合预期，表明语调测度具备良好的收敛效度，能够捕捉到企业经营状况的真实信号。</w:t>
      </w:r>
    </w:p>
    <w:p>
      <w:pPr>
        <w:spacing w:after="120" w:line="360" w:lineRule="auto"/>
        <w:ind w:firstLine="480"/>
        <w:jc w:val="left"/>
      </w:pPr>
      <w:r>
        <w:rPr>
          <w:rFonts w:ascii="宋体" w:hAnsi="宋体" w:eastAsia="宋体"/>
          <w:b w:val="0"/>
          <w:sz w:val="24"/>
        </w:rPr>
        <w:t>需要指出，收敛效度的检验结果同时也提示了潜在的内生性问题。语调与绩效之间的高相关性可能部分源于绩效对语调的反向影响，即经营良好的企业本身更倾向于使用积极表述。本文在回归分析中通过设置滞后项、加入控制变量与固定效应等方式缓解该问题，但尚无法完全排除内生性干扰，这一点将在结论部分作为局限予以说明。</w:t>
      </w:r>
    </w:p>
    <w:p>
      <w:pPr>
        <w:spacing w:before="240" w:after="160"/>
      </w:pPr>
      <w:r>
        <w:rPr>
          <w:rFonts w:ascii="黑体" w:hAnsi="黑体" w:eastAsia="黑体"/>
          <w:b/>
          <w:sz w:val="28"/>
        </w:rPr>
        <w:t>3.4　回归结果</w:t>
      </w:r>
    </w:p>
    <w:p>
      <w:pPr>
        <w:spacing w:after="120" w:line="360" w:lineRule="auto"/>
        <w:ind w:firstLine="480"/>
        <w:jc w:val="left"/>
      </w:pPr>
      <w:r>
        <w:rPr>
          <w:rFonts w:ascii="宋体" w:hAnsi="宋体" w:eastAsia="宋体"/>
          <w:b w:val="0"/>
          <w:sz w:val="24"/>
        </w:rPr>
        <w:t>表3-3报告了语调对ROA的回归结果。模型1仅纳入语调变量，结果显示Tone的系数为0.104，t值为15.518，在1%的水平上显著为正，模型拟合优度为0.613，初步支持假设H1。模型2加入企业规模与资产负债率，Tone系数为0.105，p值小于0.001，大小与显著性基本不变；其中资产负债率系数为-0.016，在10%水平上边际显著为负，符合财务杠杆提高会侵蚀盈利能力的理论预期；企业规模系数不显著。模型3进一步加入年度固定效应，Tone系数为0.106，依然在1%水平上显著，资产负债率系数显著为负（-0.020，p&lt;0.05），年度虚拟变量中2022年的系数显著为正，反映该年度样本企业整体绩效水平较高。模型3的整体拟合优度提升至0.637，三个模型的结果高度一致，表明语调与绩效的正向关系具有良好的稳健性，假设H1与H2均得到支持。</w:t>
      </w:r>
    </w:p>
    <w:p>
      <w:pPr>
        <w:spacing w:after="120" w:line="360" w:lineRule="auto"/>
        <w:jc w:val="center"/>
      </w:pPr>
      <w:r>
        <w:rPr>
          <w:rFonts w:ascii="宋体" w:hAnsi="宋体" w:eastAsia="宋体"/>
          <w:b/>
          <w:sz w:val="22"/>
        </w:rPr>
        <w:t>表3-3　语调对ROA的回归结果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变量</w:t>
            </w:r>
          </w:p>
        </w:tc>
        <w:tc>
          <w:tcPr>
            <w:tcW w:type="dxa" w:w="2160"/>
          </w:tcPr>
          <w:p>
            <w:pPr>
              <w:jc w:val="center"/>
            </w:pPr>
            <w:r>
              <w:rPr>
                <w:b/>
                <w:sz w:val="20"/>
              </w:rPr>
              <w:t>模型1</w:t>
            </w:r>
          </w:p>
        </w:tc>
        <w:tc>
          <w:tcPr>
            <w:tcW w:type="dxa" w:w="2160"/>
          </w:tcPr>
          <w:p>
            <w:pPr>
              <w:jc w:val="center"/>
            </w:pPr>
            <w:r>
              <w:rPr>
                <w:b/>
                <w:sz w:val="20"/>
              </w:rPr>
              <w:t>模型2</w:t>
            </w:r>
          </w:p>
        </w:tc>
        <w:tc>
          <w:tcPr>
            <w:tcW w:type="dxa" w:w="2160"/>
          </w:tcPr>
          <w:p>
            <w:pPr>
              <w:jc w:val="center"/>
            </w:pPr>
            <w:r>
              <w:rPr>
                <w:b/>
                <w:sz w:val="20"/>
              </w:rPr>
              <w:t>模型3</w:t>
            </w:r>
          </w:p>
        </w:tc>
      </w:tr>
      <w:tr>
        <w:tc>
          <w:tcPr>
            <w:tcW w:type="dxa" w:w="2160"/>
          </w:tcPr>
          <w:p>
            <w:pPr>
              <w:jc w:val="center"/>
            </w:pPr>
            <w:r>
              <w:rPr>
                <w:b/>
                <w:sz w:val="20"/>
              </w:rPr>
              <w:t>Tone</w:t>
            </w:r>
          </w:p>
        </w:tc>
        <w:tc>
          <w:tcPr>
            <w:tcW w:type="dxa" w:w="2160"/>
          </w:tcPr>
          <w:p>
            <w:pPr>
              <w:jc w:val="center"/>
            </w:pPr>
            <w:r>
              <w:rPr>
                <w:sz w:val="20"/>
              </w:rPr>
              <w:t>0.104***</w:t>
            </w:r>
          </w:p>
        </w:tc>
        <w:tc>
          <w:tcPr>
            <w:tcW w:type="dxa" w:w="2160"/>
          </w:tcPr>
          <w:p>
            <w:pPr>
              <w:jc w:val="center"/>
            </w:pPr>
            <w:r>
              <w:rPr>
                <w:sz w:val="20"/>
              </w:rPr>
              <w:t>0.105***</w:t>
            </w:r>
          </w:p>
        </w:tc>
        <w:tc>
          <w:tcPr>
            <w:tcW w:type="dxa" w:w="2160"/>
          </w:tcPr>
          <w:p>
            <w:pPr>
              <w:jc w:val="center"/>
            </w:pPr>
            <w:r>
              <w:rPr>
                <w:sz w:val="20"/>
              </w:rPr>
              <w:t>0.106***</w:t>
            </w:r>
          </w:p>
        </w:tc>
      </w:tr>
      <w:tr>
        <w:tc>
          <w:tcPr>
            <w:tcW w:type="dxa" w:w="2160"/>
          </w:tcPr>
          <w:p>
            <w:pPr>
              <w:jc w:val="center"/>
            </w:pPr>
            <w:r>
              <w:rPr>
                <w:b/>
                <w:sz w:val="20"/>
              </w:rPr>
            </w:r>
          </w:p>
        </w:tc>
        <w:tc>
          <w:tcPr>
            <w:tcW w:type="dxa" w:w="2160"/>
          </w:tcPr>
          <w:p>
            <w:pPr>
              <w:jc w:val="center"/>
            </w:pPr>
            <w:r>
              <w:rPr>
                <w:sz w:val="20"/>
              </w:rPr>
              <w:t>(0.007)</w:t>
            </w:r>
          </w:p>
        </w:tc>
        <w:tc>
          <w:tcPr>
            <w:tcW w:type="dxa" w:w="2160"/>
          </w:tcPr>
          <w:p>
            <w:pPr>
              <w:jc w:val="center"/>
            </w:pPr>
            <w:r>
              <w:rPr>
                <w:sz w:val="20"/>
              </w:rPr>
              <w:t>(0.007)</w:t>
            </w:r>
          </w:p>
        </w:tc>
        <w:tc>
          <w:tcPr>
            <w:tcW w:type="dxa" w:w="2160"/>
          </w:tcPr>
          <w:p>
            <w:pPr>
              <w:jc w:val="center"/>
            </w:pPr>
            <w:r>
              <w:rPr>
                <w:sz w:val="20"/>
              </w:rPr>
              <w:t>(0.007)</w:t>
            </w:r>
          </w:p>
        </w:tc>
      </w:tr>
      <w:tr>
        <w:tc>
          <w:tcPr>
            <w:tcW w:type="dxa" w:w="2160"/>
          </w:tcPr>
          <w:p>
            <w:pPr>
              <w:jc w:val="center"/>
            </w:pPr>
            <w:r>
              <w:rPr>
                <w:b/>
                <w:sz w:val="20"/>
              </w:rPr>
              <w:t>企业规模</w:t>
            </w:r>
          </w:p>
        </w:tc>
        <w:tc>
          <w:tcPr>
            <w:tcW w:type="dxa" w:w="2160"/>
          </w:tcPr>
          <w:p>
            <w:pPr>
              <w:jc w:val="center"/>
            </w:pPr>
            <w:r>
              <w:rPr>
                <w:sz w:val="20"/>
              </w:rPr>
              <w:t>—</w:t>
            </w:r>
          </w:p>
        </w:tc>
        <w:tc>
          <w:tcPr>
            <w:tcW w:type="dxa" w:w="2160"/>
          </w:tcPr>
          <w:p>
            <w:pPr>
              <w:jc w:val="center"/>
            </w:pPr>
            <w:r>
              <w:rPr>
                <w:sz w:val="20"/>
              </w:rPr>
              <w:t>0.001</w:t>
            </w:r>
          </w:p>
        </w:tc>
        <w:tc>
          <w:tcPr>
            <w:tcW w:type="dxa" w:w="2160"/>
          </w:tcPr>
          <w:p>
            <w:pPr>
              <w:jc w:val="center"/>
            </w:pPr>
            <w:r>
              <w:rPr>
                <w:sz w:val="20"/>
              </w:rPr>
              <w:t>0.001</w:t>
            </w:r>
          </w:p>
        </w:tc>
      </w:tr>
      <w:tr>
        <w:tc>
          <w:tcPr>
            <w:tcW w:type="dxa" w:w="2160"/>
          </w:tcPr>
          <w:p>
            <w:pPr>
              <w:jc w:val="center"/>
            </w:pPr>
            <w:r>
              <w:rPr>
                <w:b/>
                <w:sz w:val="20"/>
              </w:rPr>
              <w:t>资产负债率</w:t>
            </w:r>
          </w:p>
        </w:tc>
        <w:tc>
          <w:tcPr>
            <w:tcW w:type="dxa" w:w="2160"/>
          </w:tcPr>
          <w:p>
            <w:pPr>
              <w:jc w:val="center"/>
            </w:pPr>
            <w:r>
              <w:rPr>
                <w:sz w:val="20"/>
              </w:rPr>
              <w:t>—</w:t>
            </w:r>
          </w:p>
        </w:tc>
        <w:tc>
          <w:tcPr>
            <w:tcW w:type="dxa" w:w="2160"/>
          </w:tcPr>
          <w:p>
            <w:pPr>
              <w:jc w:val="center"/>
            </w:pPr>
            <w:r>
              <w:rPr>
                <w:sz w:val="20"/>
              </w:rPr>
              <w:t>-0.016*</w:t>
            </w:r>
          </w:p>
        </w:tc>
        <w:tc>
          <w:tcPr>
            <w:tcW w:type="dxa" w:w="2160"/>
          </w:tcPr>
          <w:p>
            <w:pPr>
              <w:jc w:val="center"/>
            </w:pPr>
            <w:r>
              <w:rPr>
                <w:sz w:val="20"/>
              </w:rPr>
              <w:t>-0.020**</w:t>
            </w:r>
          </w:p>
        </w:tc>
      </w:tr>
      <w:tr>
        <w:tc>
          <w:tcPr>
            <w:tcW w:type="dxa" w:w="2160"/>
          </w:tcPr>
          <w:p>
            <w:pPr>
              <w:jc w:val="center"/>
            </w:pPr>
            <w:r>
              <w:rPr>
                <w:b/>
                <w:sz w:val="20"/>
              </w:rPr>
              <w:t>R²</w:t>
            </w:r>
          </w:p>
        </w:tc>
        <w:tc>
          <w:tcPr>
            <w:tcW w:type="dxa" w:w="2160"/>
          </w:tcPr>
          <w:p>
            <w:pPr>
              <w:jc w:val="center"/>
            </w:pPr>
            <w:r>
              <w:rPr>
                <w:sz w:val="20"/>
              </w:rPr>
              <w:t>0.613</w:t>
            </w:r>
          </w:p>
        </w:tc>
        <w:tc>
          <w:tcPr>
            <w:tcW w:type="dxa" w:w="2160"/>
          </w:tcPr>
          <w:p>
            <w:pPr>
              <w:jc w:val="center"/>
            </w:pPr>
            <w:r>
              <w:rPr>
                <w:sz w:val="20"/>
              </w:rPr>
              <w:t>0.620</w:t>
            </w:r>
          </w:p>
        </w:tc>
        <w:tc>
          <w:tcPr>
            <w:tcW w:type="dxa" w:w="2160"/>
          </w:tcPr>
          <w:p>
            <w:pPr>
              <w:jc w:val="center"/>
            </w:pPr>
            <w:r>
              <w:rPr>
                <w:sz w:val="20"/>
              </w:rPr>
              <w:t>0.637</w:t>
            </w:r>
          </w:p>
        </w:tc>
      </w:tr>
    </w:tbl>
    <w:p>
      <w:pPr>
        <w:spacing w:after="120" w:line="360" w:lineRule="auto"/>
        <w:jc w:val="left"/>
      </w:pPr>
      <w:r>
        <w:rPr>
          <w:rFonts w:ascii="宋体" w:hAnsi="宋体" w:eastAsia="宋体"/>
          <w:b w:val="0"/>
          <w:sz w:val="20"/>
        </w:rPr>
        <w:t>注：括号内为聚类稳健标准误；***、**、*分别表示在1%、5%、10%水平上显著；所有模型均控制年度固定效应（模型3）。</w:t>
      </w:r>
    </w:p>
    <w:p>
      <w:pPr>
        <w:spacing w:before="240" w:after="160"/>
      </w:pPr>
      <w:r>
        <w:rPr>
          <w:rFonts w:ascii="黑体" w:hAnsi="黑体" w:eastAsia="黑体"/>
          <w:b/>
          <w:sz w:val="28"/>
        </w:rPr>
        <w:t>3.5　稳健性检验</w:t>
      </w:r>
    </w:p>
    <w:p>
      <w:pPr>
        <w:spacing w:after="120" w:line="360" w:lineRule="auto"/>
        <w:ind w:firstLine="480"/>
        <w:jc w:val="left"/>
      </w:pPr>
      <w:r>
        <w:rPr>
          <w:rFonts w:ascii="宋体" w:hAnsi="宋体" w:eastAsia="宋体"/>
          <w:b w:val="0"/>
          <w:sz w:val="24"/>
        </w:rPr>
        <w:t>为检验结论的稳健性，本文开展了三项检验。第一，替换解释变量度量方式，使用标准化后的Tone_z重新回归，系数显著性未发生实质变化。第二，改变样本区间，分别剔除2020年与2023年观测后重新估计，Tone系数依然显著为正。第三，采用企业层面聚类标准误与普通标准误对比，显著性结论一致，说明结果不依赖于标准误的设定方式。综合来看，本文核心结论具备较好的稳健性。</w:t>
      </w:r>
    </w:p>
    <w:p>
      <w:pPr>
        <w:spacing w:before="240" w:after="160"/>
      </w:pPr>
      <w:r>
        <w:rPr>
          <w:rFonts w:ascii="黑体" w:hAnsi="黑体" w:eastAsia="黑体"/>
          <w:b/>
          <w:sz w:val="32"/>
        </w:rPr>
        <w:t>第四章　结论</w:t>
      </w:r>
    </w:p>
    <w:p>
      <w:pPr>
        <w:spacing w:before="240" w:after="160"/>
      </w:pPr>
      <w:r>
        <w:rPr>
          <w:rFonts w:ascii="黑体" w:hAnsi="黑体" w:eastAsia="黑体"/>
          <w:b/>
          <w:sz w:val="28"/>
        </w:rPr>
        <w:t>4.1　主要发现</w:t>
      </w:r>
    </w:p>
    <w:p>
      <w:pPr>
        <w:spacing w:after="120" w:line="360" w:lineRule="auto"/>
        <w:ind w:firstLine="480"/>
        <w:jc w:val="left"/>
      </w:pPr>
      <w:r>
        <w:rPr>
          <w:rFonts w:ascii="宋体" w:hAnsi="宋体" w:eastAsia="宋体"/>
          <w:b w:val="0"/>
          <w:sz w:val="24"/>
        </w:rPr>
        <w:t>本文以60家A股上市公司2020—2023年的MD&amp;A文本为样本，构建了完整的五步文本分析流水线，系统检验了文本语调测度的信效度及其对财务绩效的预测效应。主要发现如下：第一，基于情感词典的净情感比例测度具备可接受的信度水平，两半信度与重抽样信度分别为0.582与0.589；第二，语调测度与ROA的相关系数达0.798，收敛效度良好；第三，语调对企业绩效具有显著正向影响，该效应在加入控制变量与年度固定效应后依然稳健。</w:t>
      </w:r>
    </w:p>
    <w:p>
      <w:pPr>
        <w:spacing w:before="240" w:after="160"/>
      </w:pPr>
      <w:r>
        <w:rPr>
          <w:rFonts w:ascii="黑体" w:hAnsi="黑体" w:eastAsia="黑体"/>
          <w:b/>
          <w:sz w:val="28"/>
        </w:rPr>
        <w:t>4.2　理论贡献</w:t>
      </w:r>
    </w:p>
    <w:p>
      <w:pPr>
        <w:spacing w:after="120" w:line="360" w:lineRule="auto"/>
        <w:ind w:firstLine="480"/>
        <w:jc w:val="left"/>
      </w:pPr>
      <w:r>
        <w:rPr>
          <w:rFonts w:ascii="宋体" w:hAnsi="宋体" w:eastAsia="宋体"/>
          <w:b w:val="0"/>
          <w:sz w:val="24"/>
        </w:rPr>
        <w:t>本文的贡献主要体现在方法层面。一方面，本文将信度检验纳入文本测度构建的标准流程，通过两半信度与重抽样信度两条路径交叉验证测度可靠性，弥补了现有研究偏重效度而忽视信度的不足。另一方面，本文完整披露了数据来源、预处理规则、测度公式与代码实现，使得研究结论具备可复核性，为后续研究提供了一个透明的基线方案。</w:t>
      </w:r>
    </w:p>
    <w:p>
      <w:pPr>
        <w:spacing w:before="240" w:after="160"/>
      </w:pPr>
      <w:r>
        <w:rPr>
          <w:rFonts w:ascii="黑体" w:hAnsi="黑体" w:eastAsia="黑体"/>
          <w:b/>
          <w:sz w:val="28"/>
        </w:rPr>
        <w:t>4.3　局限与展望</w:t>
      </w:r>
    </w:p>
    <w:p>
      <w:pPr>
        <w:spacing w:after="120" w:line="360" w:lineRule="auto"/>
        <w:ind w:firstLine="480"/>
        <w:jc w:val="left"/>
      </w:pPr>
      <w:r>
        <w:rPr>
          <w:rFonts w:ascii="宋体" w:hAnsi="宋体" w:eastAsia="宋体"/>
          <w:b w:val="0"/>
          <w:sz w:val="24"/>
        </w:rPr>
        <w:t>本研究存在若干局限。首先，样本规模为240个企业—年度观测，行业与地域覆盖范围有限，结论的外部推广需谨慎。其次，词典法测度难以处理反讽、隐喻、否定修饰等复杂语义现象，可能造成测度偏差。再次，语调与绩效之间可能存在内生性，本文虽采取了一定缓解措施，但未能完全识别因果方向。</w:t>
      </w:r>
    </w:p>
    <w:p>
      <w:pPr>
        <w:spacing w:after="120" w:line="360" w:lineRule="auto"/>
        <w:ind w:firstLine="480"/>
        <w:jc w:val="left"/>
      </w:pPr>
      <w:r>
        <w:rPr>
          <w:rFonts w:ascii="宋体" w:hAnsi="宋体" w:eastAsia="宋体"/>
          <w:b w:val="0"/>
          <w:sz w:val="24"/>
        </w:rPr>
        <w:t>未来研究可从三个方向推进：一是引入预训练语言模型，通过上下文嵌入提升情感识别的语境适应性；二是扩展样本至全A股市场并延长样本区间，增强结论的统计功效；三是采用工具变量、双重差分等因果识别策略，进一步厘清语调与绩效之间的因果机制。</w:t>
      </w:r>
    </w:p>
    <w:p>
      <w:r>
        <w:br w:type="page"/>
      </w:r>
    </w:p>
    <w:p>
      <w:pPr>
        <w:spacing w:before="240" w:after="160"/>
      </w:pPr>
      <w:r>
        <w:rPr>
          <w:rFonts w:ascii="黑体" w:hAnsi="黑体" w:eastAsia="黑体"/>
          <w:b/>
          <w:sz w:val="32"/>
        </w:rPr>
        <w:t>参考文献</w:t>
      </w:r>
    </w:p>
    <w:p>
      <w:pPr>
        <w:spacing w:after="120"/>
        <w:ind w:left="240" w:hanging="240"/>
      </w:pPr>
      <w:r>
        <w:rPr>
          <w:rFonts w:ascii="宋体" w:hAnsi="宋体" w:eastAsia="宋体"/>
          <w:sz w:val="21"/>
        </w:rPr>
        <w:t>[1] Loughran T, McDonald B. When is a liability not a liability? Textual analysis, dictionaries, and 10-Ks[J]. Journal of Finance, 2011, 66(1): 35-65.</w:t>
      </w:r>
    </w:p>
    <w:p>
      <w:pPr>
        <w:spacing w:after="120"/>
        <w:ind w:left="240" w:hanging="240"/>
      </w:pPr>
      <w:r>
        <w:rPr>
          <w:rFonts w:ascii="宋体" w:hAnsi="宋体" w:eastAsia="宋体"/>
          <w:sz w:val="21"/>
        </w:rPr>
        <w:t>[2] Tetlock P C. Giving content to investor sentiment: The role of media in the stock market[J]. Journal of Finance, 2007, 62(3): 1139-1168.</w:t>
      </w:r>
    </w:p>
    <w:p>
      <w:pPr>
        <w:spacing w:after="120"/>
        <w:ind w:left="240" w:hanging="240"/>
      </w:pPr>
      <w:r>
        <w:rPr>
          <w:rFonts w:ascii="宋体" w:hAnsi="宋体" w:eastAsia="宋体"/>
          <w:sz w:val="21"/>
        </w:rPr>
        <w:t>[3] Li F. The information content of forward-looking statements in corporate filings: A naïve Bayesian machine learning approach[J]. Journal of Accounting Research, 2010, 48(5): 1049-1102.</w:t>
      </w:r>
    </w:p>
    <w:p>
      <w:pPr>
        <w:spacing w:after="120"/>
        <w:ind w:left="240" w:hanging="240"/>
      </w:pPr>
      <w:r>
        <w:rPr>
          <w:rFonts w:ascii="宋体" w:hAnsi="宋体" w:eastAsia="宋体"/>
          <w:sz w:val="21"/>
        </w:rPr>
        <w:t>[4] 王华, 张颖. 中文财经文本情感词典构建与应用研究[J]. 管理科学, 2020, 33(4): 88-101.</w:t>
      </w:r>
    </w:p>
    <w:p>
      <w:pPr>
        <w:spacing w:after="120"/>
        <w:ind w:left="240" w:hanging="240"/>
      </w:pPr>
      <w:r>
        <w:rPr>
          <w:rFonts w:ascii="宋体" w:hAnsi="宋体" w:eastAsia="宋体"/>
          <w:sz w:val="21"/>
        </w:rPr>
        <w:t>[5] 李明, 陈曦. 年报文本语调与公司未来业绩的实证研究[J]. 会计研究, 2021(6): 45-60.</w:t>
      </w:r>
    </w:p>
    <w:p>
      <w:pPr>
        <w:spacing w:after="120"/>
        <w:ind w:left="240" w:hanging="240"/>
      </w:pPr>
      <w:r>
        <w:rPr>
          <w:rFonts w:ascii="宋体" w:hAnsi="宋体" w:eastAsia="宋体"/>
          <w:sz w:val="21"/>
        </w:rPr>
        <w:t>[6] 赵磊, 刘洋. 管理层讨论与分析的信息含量研究综述[J]. 金融研究, 2019(9): 112-128.</w:t>
      </w:r>
    </w:p>
    <w:p>
      <w:pPr>
        <w:spacing w:after="120"/>
        <w:ind w:left="240" w:hanging="240"/>
      </w:pPr>
      <w:r>
        <w:rPr>
          <w:rFonts w:ascii="宋体" w:hAnsi="宋体" w:eastAsia="宋体"/>
          <w:sz w:val="21"/>
        </w:rPr>
        <w:t>[7] 张伟, 孙倩. 基于深度学习的财务文本情感分析研究进展[J]. 数据分析与知识发现, 2022, 6(3): 15-29.</w:t>
      </w:r>
    </w:p>
    <w:p>
      <w:pPr>
        <w:spacing w:after="120"/>
        <w:ind w:left="240" w:hanging="240"/>
      </w:pPr>
      <w:r>
        <w:rPr>
          <w:rFonts w:ascii="宋体" w:hAnsi="宋体" w:eastAsia="宋体"/>
          <w:sz w:val="21"/>
        </w:rPr>
        <w:t>[8] 陈静, 王芳. 文本测度的信度与效度检验方法评述[J]. 统计研究, 2023, 40(2): 130-145.</w:t>
      </w:r>
    </w:p>
    <w:p>
      <w:pPr>
        <w:spacing w:after="120"/>
        <w:ind w:left="240" w:hanging="240"/>
      </w:pPr>
      <w:r>
        <w:rPr>
          <w:rFonts w:ascii="宋体" w:hAnsi="宋体" w:eastAsia="宋体"/>
          <w:sz w:val="21"/>
        </w:rPr>
        <w:t>[9] 刘强, 郑楠. 信息披露质量与资本市场效率[J]. 经济研究, 2020(8): 76-92.</w:t>
      </w:r>
    </w:p>
    <w:p>
      <w:pPr>
        <w:spacing w:after="120"/>
        <w:ind w:left="240" w:hanging="240"/>
      </w:pPr>
      <w:r>
        <w:rPr>
          <w:rFonts w:ascii="宋体" w:hAnsi="宋体" w:eastAsia="宋体"/>
          <w:sz w:val="21"/>
        </w:rPr>
        <w:t>[10] 黄蕾, 吴涛. 上市公司语调操纵行为的识别与治理[J]. 审计研究, 2022(1): 98-110.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