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rPr>
          <w:rFonts w:ascii="Arial" w:hAnsi="Arial" w:eastAsia="PingFang TC"/>
          <w:b/>
          <w:color w:val="000000"/>
          <w:sz w:val="50"/>
        </w:rPr>
        <w:t>AI 提示詞視覺化管理 App</w:t>
      </w:r>
    </w:p>
    <w:p>
      <w:pPr>
        <w:pStyle w:val="Subtitle"/>
        <w:jc w:val="center"/>
      </w:pPr>
      <w:r>
        <w:rPr>
          <w:rFonts w:ascii="Arial" w:hAnsi="Arial" w:eastAsia="PingFang TC"/>
          <w:color w:val="8B513A"/>
          <w:sz w:val="28"/>
        </w:rPr>
        <w:t>本機提示詞管理 Token 分析與 Agent 記憶視覺化</w:t>
      </w:r>
    </w:p>
    <w:p/>
    <w:p>
      <w:pPr>
        <w:jc w:val="center"/>
      </w:pPr>
      <w:r>
        <w:rPr>
          <w:rFonts w:ascii="Arial" w:hAnsi="Arial" w:eastAsia="PingFang TC"/>
          <w:color w:val="555555"/>
          <w:sz w:val="21"/>
        </w:rPr>
        <w:t>版本 1.2　完整企劃書與操作介面</w:t>
      </w:r>
    </w:p>
    <w:p>
      <w:pPr>
        <w:jc w:val="center"/>
      </w:pPr>
      <w:r>
        <w:rPr>
          <w:rFonts w:ascii="Arial" w:hAnsi="Arial" w:eastAsia="PingFang TC"/>
          <w:color w:val="000000"/>
          <w:sz w:val="22"/>
        </w:rPr>
        <w:t>學生：____________　系級：____________</w:t>
      </w:r>
    </w:p>
    <w:p>
      <w:pPr>
        <w:jc w:val="center"/>
      </w:pPr>
      <w:r>
        <w:rPr>
          <w:rFonts w:ascii="Arial" w:hAnsi="Arial" w:eastAsia="PingFang TC"/>
          <w:color w:val="000000"/>
          <w:sz w:val="22"/>
        </w:rPr>
        <w:t>指導老師：____________</w:t>
      </w:r>
    </w:p>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2"/>
        <w:gridCol w:w="3402"/>
      </w:tblGrid>
      <w:tr>
        <w:tc>
          <w:tcPr>
            <w:tcW w:type="dxa" w:w="4819"/>
            <w:shd w:fill="F0E4D9"/>
            <w:tcMar>
              <w:top w:w="180" w:type="dxa"/>
              <w:start w:w="160" w:type="dxa"/>
              <w:bottom w:w="180" w:type="dxa"/>
              <w:end w:w="160" w:type="dxa"/>
            </w:tcMar>
          </w:tcPr>
          <w:p>
            <w:pPr>
              <w:jc w:val="center"/>
            </w:pPr>
            <w:r>
              <w:rPr>
                <w:rFonts w:ascii="Arial" w:hAnsi="Arial" w:eastAsia="PingFang TC"/>
                <w:color w:val="555555"/>
                <w:sz w:val="20"/>
              </w:rPr>
              <w:t>專題文件</w:t>
            </w:r>
          </w:p>
        </w:tc>
        <w:tc>
          <w:tcPr>
            <w:tcW w:type="dxa" w:w="4819"/>
            <w:shd w:fill="F0E4D9"/>
            <w:tcMar>
              <w:top w:w="180" w:type="dxa"/>
              <w:start w:w="160" w:type="dxa"/>
              <w:bottom w:w="180" w:type="dxa"/>
              <w:end w:w="160" w:type="dxa"/>
            </w:tcMar>
          </w:tcPr>
          <w:p>
            <w:pPr>
              <w:jc w:val="center"/>
            </w:pPr>
            <w:r>
              <w:rPr>
                <w:rFonts w:ascii="Arial" w:hAnsi="Arial" w:eastAsia="PingFang TC"/>
                <w:color w:val="555555"/>
                <w:sz w:val="20"/>
              </w:rPr>
              <w:t>2026 09 26</w:t>
            </w:r>
          </w:p>
        </w:tc>
      </w:tr>
    </w:tbl>
    <w:p>
      <w:r>
        <w:br w:type="page"/>
      </w:r>
    </w:p>
    <w:p>
      <w:pPr>
        <w:pStyle w:val="Heading1"/>
      </w:pPr>
      <w:r>
        <w:t>目錄</w:t>
      </w:r>
    </w:p>
    <w:p>
      <w:r>
        <w:rPr>
          <w:rFonts w:ascii="Arial" w:hAnsi="Arial" w:eastAsia="PingFang TC"/>
          <w:color w:val="666666"/>
          <w:sz w:val="20"/>
        </w:rPr>
        <w:t>下列章節可在 Word 導覽窗格中直接跳轉。修改標題後，這份清單可一併手動調整。</w:t>
      </w:r>
    </w:p>
    <w:p>
      <w:pPr>
        <w:pStyle w:val="ListBullet"/>
        <w:ind w:left="397"/>
      </w:pPr>
      <w:r>
        <w:rPr>
          <w:rFonts w:ascii="Arial" w:hAnsi="Arial" w:eastAsia="PingFang TC"/>
          <w:color w:val="000000"/>
          <w:sz w:val="22"/>
        </w:rPr>
        <w:t>一 摘要</w:t>
      </w:r>
    </w:p>
    <w:p>
      <w:pPr>
        <w:pStyle w:val="ListBullet"/>
        <w:ind w:left="397"/>
      </w:pPr>
      <w:r>
        <w:rPr>
          <w:rFonts w:ascii="Arial" w:hAnsi="Arial" w:eastAsia="PingFang TC"/>
          <w:color w:val="000000"/>
          <w:sz w:val="22"/>
        </w:rPr>
        <w:t>二 研究動機與問題定義</w:t>
      </w:r>
    </w:p>
    <w:p>
      <w:pPr>
        <w:pStyle w:val="ListBullet"/>
        <w:ind w:left="397"/>
      </w:pPr>
      <w:r>
        <w:rPr>
          <w:rFonts w:ascii="Arial" w:hAnsi="Arial" w:eastAsia="PingFang TC"/>
          <w:color w:val="000000"/>
          <w:sz w:val="22"/>
        </w:rPr>
        <w:t>三 研究目標與問題</w:t>
      </w:r>
    </w:p>
    <w:p>
      <w:pPr>
        <w:pStyle w:val="ListBullet"/>
        <w:ind w:left="397"/>
      </w:pPr>
      <w:r>
        <w:rPr>
          <w:rFonts w:ascii="Arial" w:hAnsi="Arial" w:eastAsia="PingFang TC"/>
          <w:color w:val="000000"/>
          <w:sz w:val="22"/>
        </w:rPr>
        <w:t>四 相關研究與工具</w:t>
      </w:r>
    </w:p>
    <w:p>
      <w:pPr>
        <w:pStyle w:val="ListBullet"/>
        <w:ind w:left="397"/>
      </w:pPr>
      <w:r>
        <w:rPr>
          <w:rFonts w:ascii="Arial" w:hAnsi="Arial" w:eastAsia="PingFang TC"/>
          <w:color w:val="000000"/>
          <w:sz w:val="22"/>
        </w:rPr>
        <w:t>五 目標使用者與情境</w:t>
      </w:r>
    </w:p>
    <w:p>
      <w:pPr>
        <w:pStyle w:val="ListBullet"/>
        <w:ind w:left="397"/>
      </w:pPr>
      <w:r>
        <w:rPr>
          <w:rFonts w:ascii="Arial" w:hAnsi="Arial" w:eastAsia="PingFang TC"/>
          <w:color w:val="000000"/>
          <w:sz w:val="22"/>
        </w:rPr>
        <w:t>六 功能範圍</w:t>
      </w:r>
    </w:p>
    <w:p>
      <w:pPr>
        <w:pStyle w:val="ListBullet"/>
        <w:ind w:left="397"/>
      </w:pPr>
      <w:r>
        <w:rPr>
          <w:rFonts w:ascii="Arial" w:hAnsi="Arial" w:eastAsia="PingFang TC"/>
          <w:color w:val="000000"/>
          <w:sz w:val="22"/>
        </w:rPr>
        <w:t>七 系統設計與實作方法</w:t>
      </w:r>
    </w:p>
    <w:p>
      <w:pPr>
        <w:pStyle w:val="ListBullet"/>
        <w:ind w:left="397"/>
      </w:pPr>
      <w:r>
        <w:rPr>
          <w:rFonts w:ascii="Arial" w:hAnsi="Arial" w:eastAsia="PingFang TC"/>
          <w:color w:val="000000"/>
          <w:sz w:val="22"/>
        </w:rPr>
        <w:t>八 評估設計</w:t>
      </w:r>
    </w:p>
    <w:p>
      <w:pPr>
        <w:pStyle w:val="ListBullet"/>
        <w:ind w:left="397"/>
      </w:pPr>
      <w:r>
        <w:rPr>
          <w:rFonts w:ascii="Arial" w:hAnsi="Arial" w:eastAsia="PingFang TC"/>
          <w:color w:val="000000"/>
          <w:sz w:val="22"/>
        </w:rPr>
        <w:t>九 工作分解 時程與分工</w:t>
      </w:r>
    </w:p>
    <w:p>
      <w:pPr>
        <w:pStyle w:val="ListBullet"/>
        <w:ind w:left="397"/>
      </w:pPr>
      <w:r>
        <w:rPr>
          <w:rFonts w:ascii="Arial" w:hAnsi="Arial" w:eastAsia="PingFang TC"/>
          <w:color w:val="000000"/>
          <w:sz w:val="22"/>
        </w:rPr>
        <w:t>十 設備與經費</w:t>
      </w:r>
    </w:p>
    <w:p>
      <w:pPr>
        <w:pStyle w:val="ListBullet"/>
        <w:ind w:left="397"/>
      </w:pPr>
      <w:r>
        <w:rPr>
          <w:rFonts w:ascii="Arial" w:hAnsi="Arial" w:eastAsia="PingFang TC"/>
          <w:color w:val="000000"/>
          <w:sz w:val="22"/>
        </w:rPr>
        <w:t>十一 風險與因應</w:t>
      </w:r>
    </w:p>
    <w:p>
      <w:pPr>
        <w:pStyle w:val="ListBullet"/>
        <w:ind w:left="397"/>
      </w:pPr>
      <w:r>
        <w:rPr>
          <w:rFonts w:ascii="Arial" w:hAnsi="Arial" w:eastAsia="PingFang TC"/>
          <w:color w:val="000000"/>
          <w:sz w:val="22"/>
        </w:rPr>
        <w:t>十二 預期成果與目前狀態</w:t>
      </w:r>
    </w:p>
    <w:p>
      <w:pPr>
        <w:pStyle w:val="ListBullet"/>
        <w:ind w:left="397"/>
      </w:pPr>
      <w:r>
        <w:rPr>
          <w:rFonts w:ascii="Arial" w:hAnsi="Arial" w:eastAsia="PingFang TC"/>
          <w:color w:val="000000"/>
          <w:sz w:val="22"/>
        </w:rPr>
        <w:t>十三 需要老師協助確認的事項</w:t>
      </w:r>
    </w:p>
    <w:p>
      <w:pPr>
        <w:pStyle w:val="ListBullet"/>
        <w:ind w:left="397"/>
      </w:pPr>
      <w:r>
        <w:rPr>
          <w:rFonts w:ascii="Arial" w:hAnsi="Arial" w:eastAsia="PingFang TC"/>
          <w:color w:val="000000"/>
          <w:sz w:val="22"/>
        </w:rPr>
        <w:t>十四 可傳給老師的更新說明</w:t>
      </w:r>
    </w:p>
    <w:p>
      <w:pPr>
        <w:pStyle w:val="ListBullet"/>
        <w:ind w:left="397"/>
      </w:pPr>
      <w:r>
        <w:rPr>
          <w:rFonts w:ascii="Arial" w:hAnsi="Arial" w:eastAsia="PingFang TC"/>
          <w:color w:val="000000"/>
          <w:sz w:val="22"/>
        </w:rPr>
        <w:t>參考資料</w:t>
      </w:r>
    </w:p>
    <w:p>
      <w:r>
        <w:br w:type="page"/>
      </w:r>
    </w:p>
    <w:p>
      <w:pPr>
        <w:pStyle w:val="Heading1"/>
      </w:pPr>
      <w:r>
        <w:t>一 摘要</w:t>
      </w:r>
    </w:p>
    <w:p>
      <w:pPr>
        <w:jc w:val="both"/>
      </w:pPr>
      <w:r>
        <w:rPr>
          <w:rFonts w:ascii="Arial" w:hAnsi="Arial" w:eastAsia="PingFang TC"/>
          <w:color w:val="000000"/>
          <w:sz w:val="22"/>
        </w:rPr>
        <w:t>我們在使用生成式 AI 整理課業、文件或程式專案時，常會把提示詞留在不同聊天紀錄與筆記裡。下次想重用時，不一定找得到最後確認過的版本，也不容易知道一段很長的提示詞到底用了多少 Token。這次專題想把這個問題做成一個真正能操作的本機 App：每個專案都有自己的提示詞清單，使用者可以搜尋、保留版本、管理 Markdown，並在送出前比較原文與精簡候選。</w:t>
      </w:r>
    </w:p>
    <w:p>
      <w:pPr>
        <w:jc w:val="both"/>
      </w:pPr>
      <w:r>
        <w:rPr>
          <w:rFonts w:ascii="Arial" w:hAnsi="Arial" w:eastAsia="PingFang TC"/>
          <w:color w:val="000000"/>
          <w:sz w:val="22"/>
        </w:rPr>
        <w:t>系統採 HTML、CSS、JavaScript 共用介面，以 Python、pywebview 與 SQLite 提供 macOS 本機服務。使用者可先於瀏覽器測試介面，再於桌面 App 操作真實檔案。提示詞整理、版本保存與 Token 計數均在本機執行，不需呼叫付費模型。精簡功能僅處理可追蹤的格式與相鄰重複條列，保留程式碼、限制與人工確認流程。成本以使用者輸入之單價及呼叫次數進行情境推算，不將純文字 Token 數誤認為完整 API 帳單。</w:t>
      </w:r>
    </w:p>
    <w:p>
      <w:pPr>
        <w:jc w:val="both"/>
      </w:pPr>
      <w:r>
        <w:rPr>
          <w:rFonts w:ascii="Arial" w:hAnsi="Arial" w:eastAsia="PingFang TC"/>
          <w:color w:val="000000"/>
          <w:sz w:val="22"/>
        </w:rPr>
        <w:t>研究採系統實作與對照評估，分別衡量提示詞尋回時間、任務完成率、Token 減少比例與輸出品質。預期交付可操作 App、原始碼、企劃書、軟體規格、測試證據及展示流程；尚未實施的使用者研究與模型品質實驗將明確列為待驗證工作。</w:t>
      </w:r>
    </w:p>
    <w:p>
      <w:pPr>
        <w:jc w:val="both"/>
      </w:pPr>
      <w:r>
        <w:rPr>
          <w:rFonts w:ascii="Arial" w:hAnsi="Arial" w:eastAsia="PingFang TC"/>
          <w:color w:val="000000"/>
          <w:sz w:val="22"/>
        </w:rPr>
        <w:t>關鍵字：提示詞管理、視覺化、本機優先、Token、成本估算、版本管理。</w:t>
      </w:r>
    </w:p>
    <w:p>
      <w:pPr>
        <w:pStyle w:val="Heading1"/>
      </w:pPr>
      <w:r>
        <w:t>二 研究動機與問題定義</w:t>
      </w:r>
    </w:p>
    <w:p>
      <w:pPr>
        <w:pStyle w:val="Heading2"/>
      </w:pPr>
      <w:r>
        <w:t>2 1 提示詞撰寫缺少引導</w:t>
      </w:r>
    </w:p>
    <w:p>
      <w:pPr>
        <w:jc w:val="both"/>
      </w:pPr>
      <w:r>
        <w:rPr>
          <w:rFonts w:ascii="Arial" w:hAnsi="Arial" w:eastAsia="PingFang TC"/>
          <w:color w:val="000000"/>
          <w:sz w:val="22"/>
        </w:rPr>
        <w:t>初學者常只輸入簡短要求，卻沒有交代工作角色、任務、必要背景、限制與輸出格式；另一方面，為了得到可靠結果，也可能堆疊重複且互相干擾的指令。因此，本專題用可選欄位協助使用者補足必要資訊，而非以篇幅長短判斷提示詞好壞。</w:t>
      </w:r>
    </w:p>
    <w:p>
      <w:pPr>
        <w:pStyle w:val="Heading2"/>
      </w:pPr>
      <w:r>
        <w:t>2 2 提示詞散落 分類與版本不易維護</w:t>
      </w:r>
    </w:p>
    <w:p>
      <w:pPr>
        <w:jc w:val="both"/>
      </w:pPr>
      <w:r>
        <w:rPr>
          <w:rFonts w:ascii="Arial" w:hAnsi="Arial" w:eastAsia="PingFang TC"/>
          <w:color w:val="000000"/>
          <w:sz w:val="22"/>
        </w:rPr>
        <w:t>同一使用者可能同時進行程式開發、文件整理與研究。提示詞若只存在聊天紀錄，便不容易依專案搜尋、比較、重用或回復前一版本。本專題讓標題、分類、標籤與版本附著在提示詞上，並提供 Markdown 匯入／匯出，使資料能由其他編輯器與 AI 工具使用。</w:t>
      </w:r>
    </w:p>
    <w:p>
      <w:pPr>
        <w:pStyle w:val="Heading2"/>
      </w:pPr>
      <w:r>
        <w:t>2 3 缺少輸入成本的可見性</w:t>
      </w:r>
    </w:p>
    <w:p>
      <w:pPr>
        <w:jc w:val="both"/>
      </w:pPr>
      <w:r>
        <w:rPr>
          <w:rFonts w:ascii="Arial" w:hAnsi="Arial" w:eastAsia="PingFang TC"/>
          <w:color w:val="000000"/>
          <w:sz w:val="22"/>
        </w:rPr>
        <w:t>冗長提示詞在大量重複呼叫時可能增加輸入費用，但長提示詞不必然是浪費；必要的範例與限制也可能降低失敗和重試成本。本研究關注「不必要的重複輸入是否可減少」，同時追蹤任務品質，避免只優化字數。</w:t>
      </w:r>
    </w:p>
    <w:p>
      <w:pPr>
        <w:pStyle w:val="Heading2"/>
      </w:pPr>
      <w:r>
        <w:t>2 4 提示詞與 Agent 記憶的關係</w:t>
      </w:r>
    </w:p>
    <w:p>
      <w:pPr>
        <w:jc w:val="both"/>
      </w:pPr>
      <w:r>
        <w:rPr>
          <w:rFonts w:ascii="Arial" w:hAnsi="Arial" w:eastAsia="PingFang TC"/>
          <w:color w:val="000000"/>
          <w:sz w:val="22"/>
        </w:rPr>
        <w:t>AGENTS.md、CLAUDE.md 等檔案可以是持久指令的一種來源，但不是所有提示詞都屬於 Agent 記憶。新版以一般提示詞工作台為主入口，將既有記憶編程與健檢功能保留為進階的專案檔案管理功能。不同 Agent 的載入機制不能視為完全相同。</w:t>
      </w:r>
    </w:p>
    <w:p>
      <w:pPr>
        <w:pStyle w:val="Heading1"/>
      </w:pPr>
      <w:r>
        <w:t>三 研究目標與問題</w:t>
      </w:r>
    </w:p>
    <w:p>
      <w:pPr>
        <w:jc w:val="both"/>
      </w:pPr>
      <w:r>
        <w:rPr>
          <w:rFonts w:ascii="Arial" w:hAnsi="Arial" w:eastAsia="PingFang TC"/>
          <w:color w:val="000000"/>
          <w:sz w:val="22"/>
        </w:rPr>
        <w:t>O1：提供可依專案分類、搜尋、編輯及重用的提示詞資料庫，降低尋回與整理成本。</w:t>
      </w:r>
    </w:p>
    <w:p>
      <w:pPr>
        <w:jc w:val="both"/>
      </w:pPr>
      <w:r>
        <w:rPr>
          <w:rFonts w:ascii="Arial" w:hAnsi="Arial" w:eastAsia="PingFang TC"/>
          <w:color w:val="000000"/>
          <w:sz w:val="22"/>
        </w:rPr>
        <w:t>O2：提供角色、任務、背景、限制與輸出格式的引導欄位，降低初學者遺漏必要資訊的機會。</w:t>
      </w:r>
    </w:p>
    <w:p>
      <w:pPr>
        <w:jc w:val="both"/>
      </w:pPr>
      <w:r>
        <w:rPr>
          <w:rFonts w:ascii="Arial" w:hAnsi="Arial" w:eastAsia="PingFang TC"/>
          <w:color w:val="000000"/>
          <w:sz w:val="22"/>
        </w:rPr>
        <w:t>O3：顯示指定 tokenizer 下的純文字 Token 數、精簡候選、內容 Diff 與輸入成本推算，讓使用者理解修改帶來的影響。</w:t>
      </w:r>
    </w:p>
    <w:p>
      <w:pPr>
        <w:jc w:val="both"/>
      </w:pPr>
      <w:r>
        <w:rPr>
          <w:rFonts w:ascii="Arial" w:hAnsi="Arial" w:eastAsia="PingFang TC"/>
          <w:color w:val="000000"/>
          <w:sz w:val="22"/>
        </w:rPr>
        <w:t>O4：保留版本與檔案备份，避免整理過程遺失既有內容，維持跨工具可攜性。</w:t>
      </w:r>
    </w:p>
    <w:p>
      <w:pPr>
        <w:jc w:val="both"/>
      </w:pPr>
      <w:r>
        <w:rPr>
          <w:rFonts w:ascii="Arial" w:hAnsi="Arial" w:eastAsia="PingFang TC"/>
          <w:color w:val="000000"/>
          <w:sz w:val="22"/>
        </w:rPr>
        <w:t>研究問題 RQ1：相較於自行管理散落文字檔，視覺化專案管理是否能縮短找到指定提示詞的時間並減少找錯版本？</w:t>
      </w:r>
    </w:p>
    <w:p>
      <w:pPr>
        <w:jc w:val="both"/>
      </w:pPr>
      <w:r>
        <w:rPr>
          <w:rFonts w:ascii="Arial" w:hAnsi="Arial" w:eastAsia="PingFang TC"/>
          <w:color w:val="000000"/>
          <w:sz w:val="22"/>
        </w:rPr>
        <w:t>研究問題 RQ2：結構化表單是否增加使用者提示詞中必要任務要素的完整度？這是欄位完整度的評估，不直接等同模型回答品質。</w:t>
      </w:r>
    </w:p>
    <w:p>
      <w:pPr>
        <w:jc w:val="both"/>
      </w:pPr>
      <w:r>
        <w:rPr>
          <w:rFonts w:ascii="Arial" w:hAnsi="Arial" w:eastAsia="PingFang TC"/>
          <w:color w:val="000000"/>
          <w:sz w:val="22"/>
        </w:rPr>
        <w:t>研究問題 RQ3：在保留必要條件的前提下，可解釋的精簡規則能減少多少輸入 Token？哪些文本沒有改善或不適合精簡？</w:t>
      </w:r>
    </w:p>
    <w:p>
      <w:pPr>
        <w:jc w:val="both"/>
      </w:pPr>
      <w:r>
        <w:rPr>
          <w:rFonts w:ascii="Arial" w:hAnsi="Arial" w:eastAsia="PingFang TC"/>
          <w:color w:val="000000"/>
          <w:sz w:val="22"/>
        </w:rPr>
        <w:t>研究問題 RQ4：精簡前後的模型輸出是否維持預先定義的任務成功標準？未執行此實驗前不宣稱品質等效。</w:t>
      </w:r>
    </w:p>
    <w:p>
      <w:pPr>
        <w:pStyle w:val="Heading1"/>
      </w:pPr>
      <w:r>
        <w:t>四 相關研究與工具</w:t>
      </w:r>
    </w:p>
    <w:p>
      <w:pPr>
        <w:pStyle w:val="Heading2"/>
      </w:pPr>
      <w:r>
        <w:t>4 1 企劃書與規格的結構依據</w:t>
      </w:r>
    </w:p>
    <w:p>
      <w:pPr>
        <w:jc w:val="both"/>
      </w:pPr>
      <w:r>
        <w:rPr>
          <w:rFonts w:ascii="Arial" w:hAnsi="Arial" w:eastAsia="PingFang TC"/>
          <w:color w:val="000000"/>
          <w:sz w:val="22"/>
        </w:rPr>
        <w:t>本企劃採大專研究計畫常見的研究問題、相關文獻、方法與預期成果架構，另加入系統專題需要的範圍、資源與交付安排。清華大學公開的國科會大專學生研究計畫申請表提供可參考的學術章節；這份公開表格較早，不將其經費與截止日期當成本專題現行要求。[S1]</w:t>
      </w:r>
    </w:p>
    <w:p>
      <w:pPr>
        <w:jc w:val="both"/>
      </w:pPr>
      <w:r>
        <w:rPr>
          <w:rFonts w:ascii="Arial" w:hAnsi="Arial" w:eastAsia="PingFang TC"/>
          <w:color w:val="000000"/>
          <w:sz w:val="22"/>
        </w:rPr>
        <w:t>東華大學資管系的專題規範把系統架構、輸入輸出、使用者介面與資料設計列為系統型專題應交代的內容；南臺科大的軟體工程教材也將目的、範圍、使用者介面、功能與限制分開說明。[S8][S9] 因此本企劃沒有只放功能清單，而是把操作畫面、使用情境、評估方式與尚未完成的研究分開寫清楚。</w:t>
      </w:r>
    </w:p>
    <w:p>
      <w:pPr>
        <w:jc w:val="both"/>
      </w:pPr>
      <w:r>
        <w:rPr>
          <w:rFonts w:ascii="Arial" w:hAnsi="Arial" w:eastAsia="PingFang TC"/>
          <w:color w:val="000000"/>
          <w:sz w:val="22"/>
        </w:rPr>
        <w:t>CMU 課程的專題規劃指引重視可量測目標、進度與資源。本專題因此將「省錢」拆成 Token、單價情境與實際品質三個可獨立檢查的面向。[S2]</w:t>
      </w:r>
    </w:p>
    <w:p>
      <w:pPr>
        <w:jc w:val="both"/>
      </w:pPr>
      <w:r>
        <w:rPr>
          <w:rFonts w:ascii="Arial" w:hAnsi="Arial" w:eastAsia="PingFang TC"/>
          <w:color w:val="000000"/>
          <w:sz w:val="22"/>
        </w:rPr>
        <w:t>軟體規格另以需求 ID、輸入輸出、例外與驗收方式建立追蹤關係，參考 ISO/IEC/IEEE 29148 公開資訊所述的需求工程方向；本文件不宣稱通過該標準的合規認證。[S3]</w:t>
      </w:r>
    </w:p>
    <w:p>
      <w:pPr>
        <w:pStyle w:val="Heading2"/>
      </w:pPr>
      <w:r>
        <w:t>4 2 同類工具與定位</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28"/>
        <w:gridCol w:w="1928"/>
        <w:gridCol w:w="1928"/>
        <w:gridCol w:w="1928"/>
        <w:gridCol w:w="1928"/>
      </w:tblGrid>
      <w:tr>
        <w:trPr>
          <w:tblHeader w:val="true"/>
        </w:trPr>
        <w:tc>
          <w:tcPr>
            <w:tcW w:type="dxa" w:w="1928"/>
            <w:vAlign w:val="center"/>
            <w:tcMar>
              <w:top w:w="100" w:type="dxa"/>
              <w:start w:w="120" w:type="dxa"/>
              <w:bottom w:w="100" w:type="dxa"/>
              <w:end w:w="120" w:type="dxa"/>
            </w:tcMar>
            <w:shd w:fill="6C493B"/>
          </w:tcPr>
          <w:p>
            <w:pPr>
              <w:spacing w:after="0"/>
            </w:pPr>
            <w:r>
              <w:rPr>
                <w:rFonts w:ascii="Arial" w:hAnsi="Arial" w:eastAsia="PingFang TC"/>
                <w:b/>
                <w:color w:val="FFFFFF"/>
                <w:sz w:val="18"/>
              </w:rPr>
              <w:t>比較項目</w:t>
            </w:r>
          </w:p>
        </w:tc>
        <w:tc>
          <w:tcPr>
            <w:tcW w:type="dxa" w:w="1928"/>
            <w:vAlign w:val="center"/>
            <w:tcMar>
              <w:top w:w="100" w:type="dxa"/>
              <w:start w:w="120" w:type="dxa"/>
              <w:bottom w:w="100" w:type="dxa"/>
              <w:end w:w="120" w:type="dxa"/>
            </w:tcMar>
            <w:shd w:fill="6C493B"/>
          </w:tcPr>
          <w:p>
            <w:pPr>
              <w:spacing w:after="0"/>
            </w:pPr>
            <w:r>
              <w:rPr>
                <w:rFonts w:ascii="Arial" w:hAnsi="Arial" w:eastAsia="PingFang TC"/>
                <w:b/>
                <w:color w:val="FFFFFF"/>
                <w:sz w:val="18"/>
              </w:rPr>
              <w:t>一般文字檔／筆記</w:t>
            </w:r>
          </w:p>
        </w:tc>
        <w:tc>
          <w:tcPr>
            <w:tcW w:type="dxa" w:w="1928"/>
            <w:vAlign w:val="center"/>
            <w:tcMar>
              <w:top w:w="100" w:type="dxa"/>
              <w:start w:w="120" w:type="dxa"/>
              <w:bottom w:w="100" w:type="dxa"/>
              <w:end w:w="120" w:type="dxa"/>
            </w:tcMar>
            <w:shd w:fill="6C493B"/>
          </w:tcPr>
          <w:p>
            <w:pPr>
              <w:spacing w:after="0"/>
            </w:pPr>
            <w:r>
              <w:rPr>
                <w:rFonts w:ascii="Arial" w:hAnsi="Arial" w:eastAsia="PingFang TC"/>
                <w:b/>
                <w:color w:val="FFFFFF"/>
                <w:sz w:val="18"/>
              </w:rPr>
              <w:t>Langfuse Prompt Management</w:t>
            </w:r>
          </w:p>
        </w:tc>
        <w:tc>
          <w:tcPr>
            <w:tcW w:type="dxa" w:w="1928"/>
            <w:vAlign w:val="center"/>
            <w:tcMar>
              <w:top w:w="100" w:type="dxa"/>
              <w:start w:w="120" w:type="dxa"/>
              <w:bottom w:w="100" w:type="dxa"/>
              <w:end w:w="120" w:type="dxa"/>
            </w:tcMar>
            <w:shd w:fill="6C493B"/>
          </w:tcPr>
          <w:p>
            <w:pPr>
              <w:spacing w:after="0"/>
            </w:pPr>
            <w:r>
              <w:rPr>
                <w:rFonts w:ascii="Arial" w:hAnsi="Arial" w:eastAsia="PingFang TC"/>
                <w:b/>
                <w:color w:val="FFFFFF"/>
                <w:sz w:val="18"/>
              </w:rPr>
              <w:t>Promptfoo</w:t>
            </w:r>
          </w:p>
        </w:tc>
        <w:tc>
          <w:tcPr>
            <w:tcW w:type="dxa" w:w="1928"/>
            <w:vAlign w:val="center"/>
            <w:tcMar>
              <w:top w:w="100" w:type="dxa"/>
              <w:start w:w="120" w:type="dxa"/>
              <w:bottom w:w="100" w:type="dxa"/>
              <w:end w:w="120" w:type="dxa"/>
            </w:tcMar>
            <w:shd w:fill="6C493B"/>
          </w:tcPr>
          <w:p>
            <w:pPr>
              <w:spacing w:after="0"/>
            </w:pPr>
            <w:r>
              <w:rPr>
                <w:rFonts w:ascii="Arial" w:hAnsi="Arial" w:eastAsia="PingFang TC"/>
                <w:b/>
                <w:color w:val="FFFFFF"/>
                <w:sz w:val="18"/>
              </w:rPr>
              <w:t>本專題</w:t>
            </w:r>
          </w:p>
        </w:tc>
      </w:tr>
      <w:tr>
        <w:tc>
          <w:tcPr>
            <w:tcW w:type="dxa" w:w="1928"/>
            <w:vAlign w:val="center"/>
            <w:tcMar>
              <w:top w:w="100" w:type="dxa"/>
              <w:start w:w="120" w:type="dxa"/>
              <w:bottom w:w="100" w:type="dxa"/>
              <w:end w:w="120" w:type="dxa"/>
            </w:tcMar>
            <w:shd w:fill="FFFFFF"/>
          </w:tcPr>
          <w:p>
            <w:pPr>
              <w:spacing w:after="0"/>
            </w:pPr>
            <w:r>
              <w:rPr>
                <w:rFonts w:ascii="Arial" w:hAnsi="Arial" w:eastAsia="PingFang TC"/>
                <w:b w:val="0"/>
                <w:color w:val="000000"/>
                <w:sz w:val="18"/>
              </w:rPr>
              <w:t>主要用途</w:t>
            </w:r>
          </w:p>
        </w:tc>
        <w:tc>
          <w:tcPr>
            <w:tcW w:type="dxa" w:w="1928"/>
            <w:vAlign w:val="center"/>
            <w:tcMar>
              <w:top w:w="100" w:type="dxa"/>
              <w:start w:w="120" w:type="dxa"/>
              <w:bottom w:w="100" w:type="dxa"/>
              <w:end w:w="120" w:type="dxa"/>
            </w:tcMar>
            <w:shd w:fill="FFFFFF"/>
          </w:tcPr>
          <w:p>
            <w:pPr>
              <w:spacing w:after="0"/>
            </w:pPr>
            <w:r>
              <w:rPr>
                <w:rFonts w:ascii="Arial" w:hAnsi="Arial" w:eastAsia="PingFang TC"/>
                <w:b w:val="0"/>
                <w:color w:val="000000"/>
                <w:sz w:val="18"/>
              </w:rPr>
              <w:t>自由紀錄</w:t>
            </w:r>
          </w:p>
        </w:tc>
        <w:tc>
          <w:tcPr>
            <w:tcW w:type="dxa" w:w="1928"/>
            <w:vAlign w:val="center"/>
            <w:tcMar>
              <w:top w:w="100" w:type="dxa"/>
              <w:start w:w="120" w:type="dxa"/>
              <w:bottom w:w="100" w:type="dxa"/>
              <w:end w:w="120" w:type="dxa"/>
            </w:tcMar>
            <w:shd w:fill="FFFFFF"/>
          </w:tcPr>
          <w:p>
            <w:pPr>
              <w:spacing w:after="0"/>
            </w:pPr>
            <w:r>
              <w:rPr>
                <w:rFonts w:ascii="Arial" w:hAnsi="Arial" w:eastAsia="PingFang TC"/>
                <w:b w:val="0"/>
                <w:color w:val="000000"/>
                <w:sz w:val="18"/>
              </w:rPr>
              <w:t>提示詞版本與應用整合</w:t>
            </w:r>
          </w:p>
        </w:tc>
        <w:tc>
          <w:tcPr>
            <w:tcW w:type="dxa" w:w="1928"/>
            <w:vAlign w:val="center"/>
            <w:tcMar>
              <w:top w:w="100" w:type="dxa"/>
              <w:start w:w="120" w:type="dxa"/>
              <w:bottom w:w="100" w:type="dxa"/>
              <w:end w:w="120" w:type="dxa"/>
            </w:tcMar>
            <w:shd w:fill="FFFFFF"/>
          </w:tcPr>
          <w:p>
            <w:pPr>
              <w:spacing w:after="0"/>
            </w:pPr>
            <w:r>
              <w:rPr>
                <w:rFonts w:ascii="Arial" w:hAnsi="Arial" w:eastAsia="PingFang TC"/>
                <w:b w:val="0"/>
                <w:color w:val="000000"/>
                <w:sz w:val="18"/>
              </w:rPr>
              <w:t>提示詞／模型評估</w:t>
            </w:r>
          </w:p>
        </w:tc>
        <w:tc>
          <w:tcPr>
            <w:tcW w:type="dxa" w:w="1928"/>
            <w:vAlign w:val="center"/>
            <w:tcMar>
              <w:top w:w="100" w:type="dxa"/>
              <w:start w:w="120" w:type="dxa"/>
              <w:bottom w:w="100" w:type="dxa"/>
              <w:end w:w="120" w:type="dxa"/>
            </w:tcMar>
            <w:shd w:fill="FFFFFF"/>
          </w:tcPr>
          <w:p>
            <w:pPr>
              <w:spacing w:after="0"/>
            </w:pPr>
            <w:r>
              <w:rPr>
                <w:rFonts w:ascii="Arial" w:hAnsi="Arial" w:eastAsia="PingFang TC"/>
                <w:b w:val="0"/>
                <w:color w:val="000000"/>
                <w:sz w:val="18"/>
              </w:rPr>
              <w:t>本機視覺化編寫與管理</w:t>
            </w:r>
          </w:p>
        </w:tc>
      </w:tr>
      <w:tr>
        <w:tc>
          <w:tcPr>
            <w:tcW w:type="dxa" w:w="1928"/>
            <w:vAlign w:val="center"/>
            <w:tcMar>
              <w:top w:w="100" w:type="dxa"/>
              <w:start w:w="120" w:type="dxa"/>
              <w:bottom w:w="100" w:type="dxa"/>
              <w:end w:w="120" w:type="dxa"/>
            </w:tcMar>
            <w:shd w:fill="F6F1EC"/>
          </w:tcPr>
          <w:p>
            <w:pPr>
              <w:spacing w:after="0"/>
            </w:pPr>
            <w:r>
              <w:rPr>
                <w:rFonts w:ascii="Arial" w:hAnsi="Arial" w:eastAsia="PingFang TC"/>
                <w:b w:val="0"/>
                <w:color w:val="000000"/>
                <w:sz w:val="18"/>
              </w:rPr>
              <w:t>借鏡重點</w:t>
            </w:r>
          </w:p>
        </w:tc>
        <w:tc>
          <w:tcPr>
            <w:tcW w:type="dxa" w:w="1928"/>
            <w:vAlign w:val="center"/>
            <w:tcMar>
              <w:top w:w="100" w:type="dxa"/>
              <w:start w:w="120" w:type="dxa"/>
              <w:bottom w:w="100" w:type="dxa"/>
              <w:end w:w="120" w:type="dxa"/>
            </w:tcMar>
            <w:shd w:fill="F6F1EC"/>
          </w:tcPr>
          <w:p>
            <w:pPr>
              <w:spacing w:after="0"/>
            </w:pPr>
            <w:r>
              <w:rPr>
                <w:rFonts w:ascii="Arial" w:hAnsi="Arial" w:eastAsia="PingFang TC"/>
                <w:b w:val="0"/>
                <w:color w:val="000000"/>
                <w:sz w:val="18"/>
              </w:rPr>
              <w:t>可攜式文字格式</w:t>
            </w:r>
          </w:p>
        </w:tc>
        <w:tc>
          <w:tcPr>
            <w:tcW w:type="dxa" w:w="1928"/>
            <w:vAlign w:val="center"/>
            <w:tcMar>
              <w:top w:w="100" w:type="dxa"/>
              <w:start w:w="120" w:type="dxa"/>
              <w:bottom w:w="100" w:type="dxa"/>
              <w:end w:w="120" w:type="dxa"/>
            </w:tcMar>
            <w:shd w:fill="F6F1EC"/>
          </w:tcPr>
          <w:p>
            <w:pPr>
              <w:spacing w:after="0"/>
            </w:pPr>
            <w:r>
              <w:rPr>
                <w:rFonts w:ascii="Arial" w:hAnsi="Arial" w:eastAsia="PingFang TC"/>
                <w:b w:val="0"/>
                <w:color w:val="000000"/>
                <w:sz w:val="18"/>
              </w:rPr>
              <w:t>版本管理與重用</w:t>
            </w:r>
          </w:p>
        </w:tc>
        <w:tc>
          <w:tcPr>
            <w:tcW w:type="dxa" w:w="1928"/>
            <w:vAlign w:val="center"/>
            <w:tcMar>
              <w:top w:w="100" w:type="dxa"/>
              <w:start w:w="120" w:type="dxa"/>
              <w:bottom w:w="100" w:type="dxa"/>
              <w:end w:w="120" w:type="dxa"/>
            </w:tcMar>
            <w:shd w:fill="F6F1EC"/>
          </w:tcPr>
          <w:p>
            <w:pPr>
              <w:spacing w:after="0"/>
            </w:pPr>
            <w:r>
              <w:rPr>
                <w:rFonts w:ascii="Arial" w:hAnsi="Arial" w:eastAsia="PingFang TC"/>
                <w:b w:val="0"/>
                <w:color w:val="000000"/>
                <w:sz w:val="18"/>
              </w:rPr>
              <w:t>以案例驗證修改效果</w:t>
            </w:r>
          </w:p>
        </w:tc>
        <w:tc>
          <w:tcPr>
            <w:tcW w:type="dxa" w:w="1928"/>
            <w:vAlign w:val="center"/>
            <w:tcMar>
              <w:top w:w="100" w:type="dxa"/>
              <w:start w:w="120" w:type="dxa"/>
              <w:bottom w:w="100" w:type="dxa"/>
              <w:end w:w="120" w:type="dxa"/>
            </w:tcMar>
            <w:shd w:fill="F6F1EC"/>
          </w:tcPr>
          <w:p>
            <w:pPr>
              <w:spacing w:after="0"/>
            </w:pPr>
            <w:r>
              <w:rPr>
                <w:rFonts w:ascii="Arial" w:hAnsi="Arial" w:eastAsia="PingFang TC"/>
                <w:b w:val="0"/>
                <w:color w:val="000000"/>
                <w:sz w:val="18"/>
              </w:rPr>
              <w:t>低設定成本、易解釋</w:t>
            </w:r>
          </w:p>
        </w:tc>
      </w:tr>
      <w:tr>
        <w:tc>
          <w:tcPr>
            <w:tcW w:type="dxa" w:w="1928"/>
            <w:vAlign w:val="center"/>
            <w:tcMar>
              <w:top w:w="100" w:type="dxa"/>
              <w:start w:w="120" w:type="dxa"/>
              <w:bottom w:w="100" w:type="dxa"/>
              <w:end w:w="120" w:type="dxa"/>
            </w:tcMar>
            <w:shd w:fill="FFFFFF"/>
          </w:tcPr>
          <w:p>
            <w:pPr>
              <w:spacing w:after="0"/>
            </w:pPr>
            <w:r>
              <w:rPr>
                <w:rFonts w:ascii="Arial" w:hAnsi="Arial" w:eastAsia="PingFang TC"/>
                <w:b w:val="0"/>
                <w:color w:val="000000"/>
                <w:sz w:val="18"/>
              </w:rPr>
              <w:t>本專題不取代的部分</w:t>
            </w:r>
          </w:p>
        </w:tc>
        <w:tc>
          <w:tcPr>
            <w:tcW w:type="dxa" w:w="1928"/>
            <w:vAlign w:val="center"/>
            <w:tcMar>
              <w:top w:w="100" w:type="dxa"/>
              <w:start w:w="120" w:type="dxa"/>
              <w:bottom w:w="100" w:type="dxa"/>
              <w:end w:w="120" w:type="dxa"/>
            </w:tcMar>
            <w:shd w:fill="FFFFFF"/>
          </w:tcPr>
          <w:p>
            <w:pPr>
              <w:spacing w:after="0"/>
            </w:pPr>
            <w:r>
              <w:rPr>
                <w:rFonts w:ascii="Arial" w:hAnsi="Arial" w:eastAsia="PingFang TC"/>
                <w:b w:val="0"/>
                <w:color w:val="000000"/>
                <w:sz w:val="18"/>
              </w:rPr>
              <w:t>任意文件編輯</w:t>
            </w:r>
          </w:p>
        </w:tc>
        <w:tc>
          <w:tcPr>
            <w:tcW w:type="dxa" w:w="1928"/>
            <w:vAlign w:val="center"/>
            <w:tcMar>
              <w:top w:w="100" w:type="dxa"/>
              <w:start w:w="120" w:type="dxa"/>
              <w:bottom w:w="100" w:type="dxa"/>
              <w:end w:w="120" w:type="dxa"/>
            </w:tcMar>
            <w:shd w:fill="FFFFFF"/>
          </w:tcPr>
          <w:p>
            <w:pPr>
              <w:spacing w:after="0"/>
            </w:pPr>
            <w:r>
              <w:rPr>
                <w:rFonts w:ascii="Arial" w:hAnsi="Arial" w:eastAsia="PingFang TC"/>
                <w:b w:val="0"/>
                <w:color w:val="000000"/>
                <w:sz w:val="18"/>
              </w:rPr>
              <w:t>團隊平台與部署整合</w:t>
            </w:r>
          </w:p>
        </w:tc>
        <w:tc>
          <w:tcPr>
            <w:tcW w:type="dxa" w:w="1928"/>
            <w:vAlign w:val="center"/>
            <w:tcMar>
              <w:top w:w="100" w:type="dxa"/>
              <w:start w:w="120" w:type="dxa"/>
              <w:bottom w:w="100" w:type="dxa"/>
              <w:end w:w="120" w:type="dxa"/>
            </w:tcMar>
            <w:shd w:fill="FFFFFF"/>
          </w:tcPr>
          <w:p>
            <w:pPr>
              <w:spacing w:after="0"/>
            </w:pPr>
            <w:r>
              <w:rPr>
                <w:rFonts w:ascii="Arial" w:hAnsi="Arial" w:eastAsia="PingFang TC"/>
                <w:b w:val="0"/>
                <w:color w:val="000000"/>
                <w:sz w:val="18"/>
              </w:rPr>
              <w:t>大規模自動模型評估</w:t>
            </w:r>
          </w:p>
        </w:tc>
        <w:tc>
          <w:tcPr>
            <w:tcW w:type="dxa" w:w="1928"/>
            <w:vAlign w:val="center"/>
            <w:tcMar>
              <w:top w:w="100" w:type="dxa"/>
              <w:start w:w="120" w:type="dxa"/>
              <w:bottom w:w="100" w:type="dxa"/>
              <w:end w:w="120" w:type="dxa"/>
            </w:tcMar>
            <w:shd w:fill="FFFFFF"/>
          </w:tcPr>
          <w:p>
            <w:pPr>
              <w:spacing w:after="0"/>
            </w:pPr>
            <w:r>
              <w:rPr>
                <w:rFonts w:ascii="Arial" w:hAnsi="Arial" w:eastAsia="PingFang TC"/>
                <w:b w:val="0"/>
                <w:color w:val="000000"/>
                <w:sz w:val="18"/>
              </w:rPr>
              <w:t>企業級服務與完整帳務</w:t>
            </w:r>
          </w:p>
        </w:tc>
      </w:tr>
    </w:tbl>
    <w:p>
      <w:pPr>
        <w:spacing w:after="40"/>
      </w:pPr>
    </w:p>
    <w:p>
      <w:pPr>
        <w:jc w:val="both"/>
      </w:pPr>
      <w:r>
        <w:rPr>
          <w:rFonts w:ascii="Arial" w:hAnsi="Arial" w:eastAsia="PingFang TC"/>
          <w:color w:val="000000"/>
          <w:sz w:val="22"/>
        </w:rPr>
        <w:t>Langfuse 的提示詞管理與 Promptfoo 的評估功能證明，管理及評估是不同但互補的工作。本專題結合適合個人與學生的核心流程，不以「市場上沒有提示詞工具」作為創新理由。[S4][S5]</w:t>
      </w:r>
    </w:p>
    <w:p>
      <w:pPr>
        <w:pStyle w:val="Heading2"/>
      </w:pPr>
      <w:r>
        <w:t>4 3 Token 計數與成本</w:t>
      </w:r>
    </w:p>
    <w:p>
      <w:pPr>
        <w:jc w:val="both"/>
      </w:pPr>
      <w:r>
        <w:rPr>
          <w:rFonts w:ascii="Arial" w:hAnsi="Arial" w:eastAsia="PingFang TC"/>
          <w:color w:val="000000"/>
          <w:sz w:val="22"/>
        </w:rPr>
        <w:t>tiktoken 提供可在本機執行的 BPE 編碼，適合計算選定 encoding 下的純文字 Token。本專題內建 o200k_base 與 cl100k_base 所需資料，避免執行期下載。[S6]</w:t>
      </w:r>
    </w:p>
    <w:p>
      <w:pPr>
        <w:jc w:val="both"/>
      </w:pPr>
      <w:r>
        <w:rPr>
          <w:rFonts w:ascii="Arial" w:hAnsi="Arial" w:eastAsia="PingFang TC"/>
          <w:color w:val="000000"/>
          <w:sz w:val="22"/>
        </w:rPr>
        <w:t>不同供應商、模型與輸入封裝可能有不同 Token 計數。Anthropic 官方亦提供獨立的 token-counting 介面；本專題不連線呼叫該服務，因此 Claude 或其他未支援 tokenizer 的數字只能標為粗估。[S7]</w:t>
      </w:r>
    </w:p>
    <w:p>
      <w:pPr>
        <w:pStyle w:val="Heading1"/>
      </w:pPr>
      <w:r>
        <w:t>五 目標使用者與情境</w:t>
      </w:r>
    </w:p>
    <w:p>
      <w:pPr>
        <w:jc w:val="both"/>
      </w:pPr>
      <w:r>
        <w:rPr>
          <w:rFonts w:ascii="Arial" w:hAnsi="Arial" w:eastAsia="PingFang TC"/>
          <w:color w:val="000000"/>
          <w:sz w:val="22"/>
        </w:rPr>
        <w:t>主要對象為同時管理數個專案的學生、個人開發者及小型工作團隊成員。第一版以單人本機操作為驗收範圍；企業使用者的多人權限、稽核與同步不包含於本期交付。</w:t>
      </w:r>
    </w:p>
    <w:p>
      <w:pPr>
        <w:jc w:val="both"/>
      </w:pPr>
      <w:r>
        <w:rPr>
          <w:rFonts w:ascii="Arial" w:hAnsi="Arial" w:eastAsia="PingFang TC"/>
          <w:color w:val="000000"/>
          <w:sz w:val="22"/>
        </w:rPr>
        <w:t>情境 A：學生撰寫研究整理提示詞，在「研究」分類建立可重用版本，輸入背景與輸出格式後保存，下一次透過關鍵字找回。</w:t>
      </w:r>
    </w:p>
    <w:p>
      <w:pPr>
        <w:jc w:val="both"/>
      </w:pPr>
      <w:r>
        <w:rPr>
          <w:rFonts w:ascii="Arial" w:hAnsi="Arial" w:eastAsia="PingFang TC"/>
          <w:color w:val="000000"/>
          <w:sz w:val="22"/>
        </w:rPr>
        <w:t>情境 B：開發者將多次使用的程式審查提示詞匯入工作台，檢查重複條列，對照精簡前後 Token 與假設 1,000 次呼叫的輸入費用，再決定是否採用。</w:t>
      </w:r>
    </w:p>
    <w:p>
      <w:pPr>
        <w:jc w:val="both"/>
      </w:pPr>
      <w:r>
        <w:rPr>
          <w:rFonts w:ascii="Arial" w:hAnsi="Arial" w:eastAsia="PingFang TC"/>
          <w:color w:val="000000"/>
          <w:sz w:val="22"/>
        </w:rPr>
        <w:t>情境 C：使用者管理不同專案的 AGENTS.md，先查看現有內容與作用域，再用記憶模組產生 Diff，確認後套用並保留回復能力。</w:t>
      </w:r>
    </w:p>
    <w:p>
      <w:pPr>
        <w:pStyle w:val="Heading1"/>
      </w:pPr>
      <w:r>
        <w:t>六 功能範圍</w:t>
      </w:r>
    </w:p>
    <w:p>
      <w:pPr>
        <w:pStyle w:val="Heading2"/>
      </w:pPr>
      <w:r>
        <w:t>6 1 本期必要功能</w:t>
      </w:r>
    </w:p>
    <w:p>
      <w:pPr>
        <w:pStyle w:val="ListNumber"/>
        <w:ind w:left="397"/>
      </w:pPr>
      <w:r>
        <w:rPr>
          <w:rFonts w:ascii="Arial" w:hAnsi="Arial" w:eastAsia="PingFang TC"/>
          <w:color w:val="000000"/>
          <w:sz w:val="22"/>
        </w:rPr>
        <w:t>專案資料夾選擇與 Markdown 清單、內容預覽。</w:t>
      </w:r>
    </w:p>
    <w:p>
      <w:pPr>
        <w:pStyle w:val="ListNumber"/>
        <w:ind w:left="397"/>
      </w:pPr>
      <w:r>
        <w:rPr>
          <w:rFonts w:ascii="Arial" w:hAnsi="Arial" w:eastAsia="PingFang TC"/>
          <w:color w:val="000000"/>
          <w:sz w:val="22"/>
        </w:rPr>
        <w:t>提示詞新增、編輯、專案隔離、分類、標籤與文字搜尋。</w:t>
      </w:r>
    </w:p>
    <w:p>
      <w:pPr>
        <w:pStyle w:val="ListNumber"/>
        <w:ind w:left="397"/>
      </w:pPr>
      <w:r>
        <w:rPr>
          <w:rFonts w:ascii="Arial" w:hAnsi="Arial" w:eastAsia="PingFang TC"/>
          <w:color w:val="000000"/>
          <w:sz w:val="22"/>
        </w:rPr>
        <w:t>四種情境的引導編寫：一般任務、程式審查、文字整理、研究筆記。</w:t>
      </w:r>
    </w:p>
    <w:p>
      <w:pPr>
        <w:pStyle w:val="ListNumber"/>
        <w:ind w:left="397"/>
      </w:pPr>
      <w:r>
        <w:rPr>
          <w:rFonts w:ascii="Arial" w:hAnsi="Arial" w:eastAsia="PingFang TC"/>
          <w:color w:val="000000"/>
          <w:sz w:val="22"/>
        </w:rPr>
        <w:t>每次儲存建立新版本；歷史內容可帶回草稿，確認後另存新版本。</w:t>
      </w:r>
    </w:p>
    <w:p>
      <w:pPr>
        <w:pStyle w:val="ListNumber"/>
        <w:ind w:left="397"/>
      </w:pPr>
      <w:r>
        <w:rPr>
          <w:rFonts w:ascii="Arial" w:hAnsi="Arial" w:eastAsia="PingFang TC"/>
          <w:color w:val="000000"/>
          <w:sz w:val="22"/>
        </w:rPr>
        <w:t>封存與取消封存；Markdown 匯入為草稿。</w:t>
      </w:r>
    </w:p>
    <w:p>
      <w:pPr>
        <w:pStyle w:val="ListNumber"/>
        <w:ind w:left="397"/>
      </w:pPr>
      <w:r>
        <w:rPr>
          <w:rFonts w:ascii="Arial" w:hAnsi="Arial" w:eastAsia="PingFang TC"/>
          <w:color w:val="000000"/>
          <w:sz w:val="22"/>
        </w:rPr>
        <w:t>本機 tokenizer、明確標示的粗估模式、可選精簡規則與 Diff。</w:t>
      </w:r>
    </w:p>
    <w:p>
      <w:pPr>
        <w:pStyle w:val="ListNumber"/>
        <w:ind w:left="397"/>
      </w:pPr>
      <w:r>
        <w:rPr>
          <w:rFonts w:ascii="Arial" w:hAnsi="Arial" w:eastAsia="PingFang TC"/>
          <w:color w:val="000000"/>
          <w:sz w:val="22"/>
        </w:rPr>
        <w:t>自訂單價／呼叫次數的輸入成本推算與 JSON 分析報告。</w:t>
      </w:r>
    </w:p>
    <w:p>
      <w:pPr>
        <w:pStyle w:val="ListNumber"/>
        <w:ind w:left="397"/>
      </w:pPr>
      <w:r>
        <w:rPr>
          <w:rFonts w:ascii="Arial" w:hAnsi="Arial" w:eastAsia="PingFang TC"/>
          <w:color w:val="000000"/>
          <w:sz w:val="22"/>
        </w:rPr>
        <w:t>匯出預覽、雜湊衝突保護、備份與復原。</w:t>
      </w:r>
    </w:p>
    <w:p>
      <w:pPr>
        <w:pStyle w:val="ListNumber"/>
        <w:ind w:left="397"/>
      </w:pPr>
      <w:r>
        <w:rPr>
          <w:rFonts w:ascii="Arial" w:hAnsi="Arial" w:eastAsia="PingFang TC"/>
          <w:color w:val="000000"/>
          <w:sz w:val="22"/>
        </w:rPr>
        <w:t>保留既有 Agent 記憶編程與基本健檢。</w:t>
      </w:r>
    </w:p>
    <w:p>
      <w:pPr>
        <w:pStyle w:val="Heading2"/>
      </w:pPr>
      <w:r>
        <w:t>6 2 不列入第一版成果宣稱</w:t>
      </w:r>
    </w:p>
    <w:p>
      <w:pPr>
        <w:jc w:val="both"/>
      </w:pPr>
      <w:r>
        <w:rPr>
          <w:rFonts w:ascii="Arial" w:hAnsi="Arial" w:eastAsia="PingFang TC"/>
          <w:color w:val="000000"/>
          <w:sz w:val="22"/>
        </w:rPr>
        <w:t>不包含自動呼叫付費 AI、語意摘要或任意語意壓縮、保證提升模型回答品質、跨供應商精確帳單、多人即時協作、雲端同步、企業權限系統與每種 Agent 的真實執行追蹤。這些功能若另行開發，需獨立規格與驗收。</w:t>
      </w:r>
    </w:p>
    <w:p>
      <w:pPr>
        <w:pStyle w:val="Heading1"/>
      </w:pPr>
      <w:r>
        <w:t>七 系統設計與實作方法</w:t>
      </w:r>
    </w:p>
    <w:p>
      <w:pPr>
        <w:pStyle w:val="Heading2"/>
      </w:pPr>
      <w:r>
        <w:t>7 1 分層架構</w:t>
      </w:r>
    </w:p>
    <w:p>
      <w:pPr>
        <w:jc w:val="both"/>
      </w:pPr>
      <w:r>
        <w:rPr>
          <w:rFonts w:ascii="Arial" w:hAnsi="Arial" w:eastAsia="PingFang TC"/>
          <w:color w:val="000000"/>
          <w:sz w:val="22"/>
        </w:rPr>
        <w:t>瀏覽器與桌面共用 HTML/CSS/ES modules。瀏覽器模式用本地示範資料和 localStorage 保存示範提示詞；桌面透過 pywebview bridge 連接 Python。Python 負責路徑檢查、資料庫、編譯、Token 分析與檔案寫回，SQLite 保存提示詞、版本與變更紀錄。</w:t>
      </w:r>
    </w:p>
    <w:p>
      <w:pPr>
        <w:jc w:val="both"/>
      </w:pPr>
      <w:r>
        <w:rPr>
          <w:rFonts w:ascii="Arial" w:hAnsi="Arial" w:eastAsia="PingFang TC"/>
          <w:color w:val="000000"/>
          <w:sz w:val="22"/>
        </w:rPr>
        <w:t>主流程為「選專案 → 建立／匯入 → 填寫／編輯 → 分析 → 檢查候選 → 儲存版本 → 匯出」。記憶檔管理採「選 Agent／檔案 → 選模組 → 預覽 Diff → 寫回」。一般提示詞匯出可能替換整份指定檔案，必須另行提示；記憶模組只更新受管理區段。</w:t>
      </w:r>
    </w:p>
    <w:p>
      <w:pPr>
        <w:pStyle w:val="Heading2"/>
      </w:pPr>
      <w:r>
        <w:t>7 2 本機精簡方法</w:t>
      </w:r>
    </w:p>
    <w:p>
      <w:pPr>
        <w:jc w:val="both"/>
      </w:pPr>
      <w:r>
        <w:rPr>
          <w:rFonts w:ascii="Arial" w:hAnsi="Arial" w:eastAsia="PingFang TC"/>
          <w:color w:val="000000"/>
          <w:sz w:val="22"/>
        </w:rPr>
        <w:t>預設合併連續多餘空白行。使用者勾選後，才提出移除相鄰完全相同頂層條列的候選。程式碼 fence 內不進行上述刪除，非空文字不做語意改寫。重複指令有時是刻意強調，因此即使文字相同，也需要人工檢查候選。</w:t>
      </w:r>
    </w:p>
    <w:p>
      <w:pPr>
        <w:jc w:val="both"/>
      </w:pPr>
      <w:r>
        <w:rPr>
          <w:rFonts w:ascii="Arial" w:hAnsi="Arial" w:eastAsia="PingFang TC"/>
          <w:color w:val="000000"/>
          <w:sz w:val="22"/>
        </w:rPr>
        <w:t>系統分別計算原文與候選 Token；若候選在所選 tokenizer 下反而增加 Token，則回傳原文並說明原因。沒有可精簡之處時顯示零減少，不產生虚假的節省值。</w:t>
      </w:r>
    </w:p>
    <w:p>
      <w:pPr>
        <w:pStyle w:val="Heading2"/>
      </w:pPr>
      <w:r>
        <w:t>7 3 成本模型</w:t>
      </w:r>
    </w:p>
    <w:p>
      <w:pPr>
        <w:jc w:val="both"/>
      </w:pPr>
      <w:r>
        <w:rPr>
          <w:rFonts w:ascii="Arial" w:hAnsi="Arial" w:eastAsia="PingFang TC"/>
          <w:color w:val="000000"/>
          <w:sz w:val="22"/>
        </w:rPr>
        <w:t>未快取輸入情境成本（USD）＝提示詞 Token 數 × 使用者輸入單價（USD／百萬 Token）× 呼叫次數 ÷ 1,000,000。</w:t>
      </w:r>
    </w:p>
    <w:p>
      <w:pPr>
        <w:jc w:val="both"/>
      </w:pPr>
      <w:r>
        <w:rPr>
          <w:rFonts w:ascii="Arial" w:hAnsi="Arial" w:eastAsia="PingFang TC"/>
          <w:color w:val="000000"/>
          <w:sz w:val="22"/>
        </w:rPr>
        <w:t>此公式不包含輸出、工具、圖片、快取折扣、封裝、重試與稅。未輸入單價時只顯示 Token，不顯示推測費用。價格不內建成「當前官方價格」，避免過期資料造成誤解。</w:t>
      </w:r>
    </w:p>
    <w:p>
      <w:pPr>
        <w:pStyle w:val="Heading2"/>
      </w:pPr>
      <w:r>
        <w:t>7 4 資料可靠性</w:t>
      </w:r>
    </w:p>
    <w:p>
      <w:pPr>
        <w:jc w:val="both"/>
      </w:pPr>
      <w:r>
        <w:rPr>
          <w:rFonts w:ascii="Arial" w:hAnsi="Arial" w:eastAsia="PingFang TC"/>
          <w:color w:val="000000"/>
          <w:sz w:val="22"/>
        </w:rPr>
        <w:t>提示詞資料庫使用版本號防止舊版本覆寫。Markdown 匯出先檢查 SHA-256 與檔案是否存在，再建立備份及原子替換。復原時若偵測檔案已有新修改，則停止直接回復。讀寫限制在選定專案內；備份與 SQLite 不存放在使用者專案目錄中。</w:t>
      </w:r>
    </w:p>
    <w:p>
      <w:pPr>
        <w:pStyle w:val="Heading2"/>
      </w:pPr>
      <w:r>
        <w:t>7 5 操作介面與畫面用途</w:t>
      </w:r>
    </w:p>
    <w:p>
      <w:pPr>
        <w:jc w:val="both"/>
      </w:pPr>
      <w:r>
        <w:rPr>
          <w:rFonts w:ascii="Arial" w:hAnsi="Arial" w:eastAsia="PingFang TC"/>
          <w:color w:val="000000"/>
          <w:sz w:val="22"/>
        </w:rPr>
        <w:t>以下畫面是共用 Web UI 的示範資料版本，桌面 App 直接內嵌同一套介面。差別在於瀏覽器只使用 localStorage 與 mock 專案，桌面版會連接 SQLite、專案 Markdown 與本機 tokenizer。截圖的目的不是裝飾，而是讓老師能對照「問題、功能、操作結果」。</w:t>
      </w:r>
    </w:p>
    <w:p>
      <w:pPr>
        <w:keepNext/>
        <w:jc w:val="center"/>
      </w:pPr>
      <w:r>
        <w:drawing>
          <wp:inline xmlns:a="http://schemas.openxmlformats.org/drawingml/2006/main" xmlns:pic="http://schemas.openxmlformats.org/drawingml/2006/picture">
            <wp:extent cx="5806440" cy="3830638"/>
            <wp:docPr id="1" name="Picture 1"/>
            <wp:cNvGraphicFramePr>
              <a:graphicFrameLocks noChangeAspect="1"/>
            </wp:cNvGraphicFramePr>
            <a:graphic>
              <a:graphicData uri="http://schemas.openxmlformats.org/drawingml/2006/picture">
                <pic:pic>
                  <pic:nvPicPr>
                    <pic:cNvPr id="0" name="01-prompt-workbench.png"/>
                    <pic:cNvPicPr/>
                  </pic:nvPicPr>
                  <pic:blipFill>
                    <a:blip r:embed="rId11"/>
                    <a:stretch>
                      <a:fillRect/>
                    </a:stretch>
                  </pic:blipFill>
                  <pic:spPr>
                    <a:xfrm>
                      <a:off x="0" y="0"/>
                      <a:ext cx="5806440" cy="3830638"/>
                    </a:xfrm>
                    <a:prstGeom prst="rect"/>
                  </pic:spPr>
                </pic:pic>
              </a:graphicData>
            </a:graphic>
          </wp:inline>
        </w:drawing>
      </w:r>
    </w:p>
    <w:p>
      <w:pPr>
        <w:keepNext w:val="0"/>
        <w:spacing w:before="40" w:after="180"/>
        <w:jc w:val="left"/>
      </w:pPr>
      <w:r>
        <w:rPr>
          <w:rFonts w:ascii="Arial" w:hAnsi="Arial" w:eastAsia="PingFang TC"/>
          <w:color w:val="555555"/>
          <w:sz w:val="19"/>
        </w:rPr>
        <w:t>圖 1　提示詞工作台。左側負責搜尋與選取，中間編輯提示詞，右側比較原文與候選 Token，並依使用者輸入的單價及呼叫次數顯示情境成本。用途是把「管理提示詞」與「檢查輸入成本」放在同一個工作流程中。</w:t>
      </w:r>
    </w:p>
    <w:p>
      <w:pPr>
        <w:keepNext/>
        <w:jc w:val="center"/>
      </w:pPr>
      <w:r>
        <w:drawing>
          <wp:inline xmlns:a="http://schemas.openxmlformats.org/drawingml/2006/main" xmlns:pic="http://schemas.openxmlformats.org/drawingml/2006/picture">
            <wp:extent cx="5806440" cy="3830638"/>
            <wp:docPr id="2" name="Picture 2"/>
            <wp:cNvGraphicFramePr>
              <a:graphicFrameLocks noChangeAspect="1"/>
            </wp:cNvGraphicFramePr>
            <a:graphic>
              <a:graphicData uri="http://schemas.openxmlformats.org/drawingml/2006/picture">
                <pic:pic>
                  <pic:nvPicPr>
                    <pic:cNvPr id="0" name="02-project-map.png"/>
                    <pic:cNvPicPr/>
                  </pic:nvPicPr>
                  <pic:blipFill>
                    <a:blip r:embed="rId12"/>
                    <a:stretch>
                      <a:fillRect/>
                    </a:stretch>
                  </pic:blipFill>
                  <pic:spPr>
                    <a:xfrm>
                      <a:off x="0" y="0"/>
                      <a:ext cx="5806440" cy="3830638"/>
                    </a:xfrm>
                    <a:prstGeom prst="rect"/>
                  </pic:spPr>
                </pic:pic>
              </a:graphicData>
            </a:graphic>
          </wp:inline>
        </w:drawing>
      </w:r>
    </w:p>
    <w:p>
      <w:pPr>
        <w:keepNext w:val="0"/>
        <w:spacing w:before="40" w:after="180"/>
        <w:jc w:val="left"/>
      </w:pPr>
      <w:r>
        <w:rPr>
          <w:rFonts w:ascii="Arial" w:hAnsi="Arial" w:eastAsia="PingFang TC"/>
          <w:color w:val="555555"/>
          <w:sz w:val="19"/>
        </w:rPr>
        <w:t>圖 2　專案與 Markdown 地圖。使用者先選專案，再確認檔案是否屬於 Codex、OpenClaw 等 Agent 的原生記憶檔；一般 Markdown 仍可預覽，但不會被誤標成自動記憶。用途是處理提示詞與記憶檔散落、作用範圍不清楚的問題。</w:t>
      </w:r>
    </w:p>
    <w:p>
      <w:pPr>
        <w:keepNext/>
        <w:jc w:val="center"/>
      </w:pPr>
      <w:r>
        <w:drawing>
          <wp:inline xmlns:a="http://schemas.openxmlformats.org/drawingml/2006/main" xmlns:pic="http://schemas.openxmlformats.org/drawingml/2006/picture">
            <wp:extent cx="5806440" cy="3830638"/>
            <wp:docPr id="3" name="Picture 3"/>
            <wp:cNvGraphicFramePr>
              <a:graphicFrameLocks noChangeAspect="1"/>
            </wp:cNvGraphicFramePr>
            <a:graphic>
              <a:graphicData uri="http://schemas.openxmlformats.org/drawingml/2006/picture">
                <pic:pic>
                  <pic:nvPicPr>
                    <pic:cNvPr id="0" name="03-memory-programming.png"/>
                    <pic:cNvPicPr/>
                  </pic:nvPicPr>
                  <pic:blipFill>
                    <a:blip r:embed="rId13"/>
                    <a:stretch>
                      <a:fillRect/>
                    </a:stretch>
                  </pic:blipFill>
                  <pic:spPr>
                    <a:xfrm>
                      <a:off x="0" y="0"/>
                      <a:ext cx="5806440" cy="3830638"/>
                    </a:xfrm>
                    <a:prstGeom prst="rect"/>
                  </pic:spPr>
                </pic:pic>
              </a:graphicData>
            </a:graphic>
          </wp:inline>
        </w:drawing>
      </w:r>
    </w:p>
    <w:p>
      <w:pPr>
        <w:keepNext w:val="0"/>
        <w:spacing w:before="40" w:after="180"/>
        <w:jc w:val="left"/>
      </w:pPr>
      <w:r>
        <w:rPr>
          <w:rFonts w:ascii="Arial" w:hAnsi="Arial" w:eastAsia="PingFang TC"/>
          <w:color w:val="555555"/>
          <w:sz w:val="19"/>
        </w:rPr>
        <w:t>圖 3　記憶編程。左側選 Agent、檔案與模組，填入專案用途等欄位；右側先顯示產生後的 Markdown，再由使用者決定是否寫入。用途是讓不熟悉 Markdown 結構的人也能建立規則，同時保留人工確認。</w:t>
      </w:r>
    </w:p>
    <w:p>
      <w:pPr>
        <w:keepNext/>
        <w:jc w:val="center"/>
      </w:pPr>
      <w:r>
        <w:drawing>
          <wp:inline xmlns:a="http://schemas.openxmlformats.org/drawingml/2006/main" xmlns:pic="http://schemas.openxmlformats.org/drawingml/2006/picture">
            <wp:extent cx="5806440" cy="3830638"/>
            <wp:docPr id="4" name="Picture 4"/>
            <wp:cNvGraphicFramePr>
              <a:graphicFrameLocks noChangeAspect="1"/>
            </wp:cNvGraphicFramePr>
            <a:graphic>
              <a:graphicData uri="http://schemas.openxmlformats.org/drawingml/2006/picture">
                <pic:pic>
                  <pic:nvPicPr>
                    <pic:cNvPr id="0" name="04-memory-health.png"/>
                    <pic:cNvPicPr/>
                  </pic:nvPicPr>
                  <pic:blipFill>
                    <a:blip r:embed="rId14"/>
                    <a:stretch>
                      <a:fillRect/>
                    </a:stretch>
                  </pic:blipFill>
                  <pic:spPr>
                    <a:xfrm>
                      <a:off x="0" y="0"/>
                      <a:ext cx="5806440" cy="3830638"/>
                    </a:xfrm>
                    <a:prstGeom prst="rect"/>
                  </pic:spPr>
                </pic:pic>
              </a:graphicData>
            </a:graphic>
          </wp:inline>
        </w:drawing>
      </w:r>
    </w:p>
    <w:p>
      <w:pPr>
        <w:keepNext w:val="0"/>
        <w:spacing w:before="40" w:after="180"/>
        <w:jc w:val="left"/>
      </w:pPr>
      <w:r>
        <w:rPr>
          <w:rFonts w:ascii="Arial" w:hAnsi="Arial" w:eastAsia="PingFang TC"/>
          <w:color w:val="555555"/>
          <w:sz w:val="19"/>
        </w:rPr>
        <w:t>圖 4　記憶健檢。畫面列出錯誤、警告、提醒、估算 Token，以及目前 Agent 可能載入的記憶檔順序。用途是協助使用者發現缺少檔案、錯誤作用域、內容過長或敏感資訊；健檢只提出結果，不自動修改。</w:t>
      </w:r>
    </w:p>
    <w:p>
      <w:pPr>
        <w:keepNext/>
        <w:jc w:val="center"/>
      </w:pPr>
      <w:r>
        <w:drawing>
          <wp:inline xmlns:a="http://schemas.openxmlformats.org/drawingml/2006/main" xmlns:pic="http://schemas.openxmlformats.org/drawingml/2006/picture">
            <wp:extent cx="5806440" cy="3830638"/>
            <wp:docPr id="5" name="Picture 5"/>
            <wp:cNvGraphicFramePr>
              <a:graphicFrameLocks noChangeAspect="1"/>
            </wp:cNvGraphicFramePr>
            <a:graphic>
              <a:graphicData uri="http://schemas.openxmlformats.org/drawingml/2006/picture">
                <pic:pic>
                  <pic:nvPicPr>
                    <pic:cNvPr id="0" name="05-settings-sources.png"/>
                    <pic:cNvPicPr/>
                  </pic:nvPicPr>
                  <pic:blipFill>
                    <a:blip r:embed="rId15"/>
                    <a:stretch>
                      <a:fillRect/>
                    </a:stretch>
                  </pic:blipFill>
                  <pic:spPr>
                    <a:xfrm>
                      <a:off x="0" y="0"/>
                      <a:ext cx="5806440" cy="3830638"/>
                    </a:xfrm>
                    <a:prstGeom prst="rect"/>
                  </pic:spPr>
                </pic:pic>
              </a:graphicData>
            </a:graphic>
          </wp:inline>
        </w:drawing>
      </w:r>
    </w:p>
    <w:p>
      <w:pPr>
        <w:keepNext w:val="0"/>
        <w:spacing w:before="40" w:after="180"/>
        <w:jc w:val="left"/>
      </w:pPr>
      <w:r>
        <w:rPr>
          <w:rFonts w:ascii="Arial" w:hAnsi="Arial" w:eastAsia="PingFang TC"/>
          <w:color w:val="555555"/>
          <w:sz w:val="19"/>
        </w:rPr>
        <w:t>圖 5　設定與規格來源。畫面公開顯示支援的 Agent、規格版本、查證日期及官方來源。用途是讓內建規則可以被追查，也提醒使用者規格有日期，不應把過期資料當成永久事實。</w:t>
      </w:r>
    </w:p>
    <w:p>
      <w:pPr>
        <w:jc w:val="both"/>
      </w:pPr>
      <w:r>
        <w:rPr>
          <w:rFonts w:ascii="Arial" w:hAnsi="Arial" w:eastAsia="PingFang TC"/>
          <w:color w:val="000000"/>
          <w:sz w:val="22"/>
        </w:rPr>
        <w:t>操作主線可以整理成：選擇專案 → 建立或匯入提示詞 → 分析 Token → 檢查候選與差異 → 儲存版本 → 需要時匯出 Markdown。若管理 Agent 記憶，則改走「選檔案 → 選模組 → 填寫 → 預覽 → 檢查 Diff → 套用」。</w:t>
      </w:r>
    </w:p>
    <w:p>
      <w:pPr>
        <w:pStyle w:val="Heading1"/>
      </w:pPr>
      <w:r>
        <w:t>八 評估設計</w:t>
      </w:r>
    </w:p>
    <w:p>
      <w:pPr>
        <w:pStyle w:val="Heading2"/>
      </w:pPr>
      <w:r>
        <w:t>8 1 功能驗證</w:t>
      </w:r>
    </w:p>
    <w:p>
      <w:pPr>
        <w:jc w:val="both"/>
      </w:pPr>
      <w:r>
        <w:rPr>
          <w:rFonts w:ascii="Arial" w:hAnsi="Arial" w:eastAsia="PingFang TC"/>
          <w:color w:val="000000"/>
          <w:sz w:val="22"/>
        </w:rPr>
        <w:t>測試中文、英文、混合語言、特殊 token 文字、空字串、長文字、無可精簡內容、重複條列與程式碼。資料測試包含專案隔離、搜尋、版本衝突、封存、資料遷移與既有設定保留；檔案測試包含 Diff、外部修改拒絕、路徑越界與逐位元組復原。</w:t>
      </w:r>
    </w:p>
    <w:p>
      <w:pPr>
        <w:pStyle w:val="Heading2"/>
      </w:pPr>
      <w:r>
        <w:t>8 2 Token 效果實驗</w:t>
      </w:r>
    </w:p>
    <w:p>
      <w:pPr>
        <w:jc w:val="both"/>
      </w:pPr>
      <w:r>
        <w:rPr>
          <w:rFonts w:ascii="Arial" w:hAnsi="Arial" w:eastAsia="PingFang TC"/>
          <w:color w:val="000000"/>
          <w:sz w:val="22"/>
        </w:rPr>
        <w:t>先以五則人工設計文本展示系統行為，使用兩種 tokenizer 得到十筆可重現測量。這些資料含刻意重複內容，不代表真實使用者的平均節省比例。後續正式研究應建立至少 30 則經去識別化的實際提示詞，涵蓋三類以上任務，保留未修改版本與來源授權，且同時記錄未改善樣本。[測量檔：evidence/token-benchmark.json]</w:t>
      </w:r>
    </w:p>
    <w:p>
      <w:pPr>
        <w:jc w:val="both"/>
      </w:pPr>
      <w:r>
        <w:rPr>
          <w:rFonts w:ascii="Arial" w:hAnsi="Arial" w:eastAsia="PingFang TC"/>
          <w:color w:val="000000"/>
          <w:sz w:val="22"/>
        </w:rPr>
        <w:t>Token 減少率＝（原文 Token－候選 Token）÷原文 Token。原文為空時定義為 0。報告中應揭露 tokenizer、樣本分布、平均值、中位數、範圍與零改善比例。</w:t>
      </w:r>
    </w:p>
    <w:p>
      <w:pPr>
        <w:pStyle w:val="Heading2"/>
      </w:pPr>
      <w:r>
        <w:t>8 3 輸出品質實驗</w:t>
      </w:r>
    </w:p>
    <w:p>
      <w:pPr>
        <w:jc w:val="both"/>
      </w:pPr>
      <w:r>
        <w:rPr>
          <w:rFonts w:ascii="Arial" w:hAnsi="Arial" w:eastAsia="PingFang TC"/>
          <w:color w:val="000000"/>
          <w:sz w:val="22"/>
        </w:rPr>
        <w:t>此項尚未執行。每則提示詞先定義必備條件與輸出格式，固定模型、參數、輸入與版本，比較原文與候選各至少三次輸出。採隱藏版本來源的評分，記錄任務成功、必要事實保留、格式正確與重大限制違反。若有條件，可由兩名評分者獨立評估再處理分歧。</w:t>
      </w:r>
    </w:p>
    <w:p>
      <w:pPr>
        <w:jc w:val="both"/>
      </w:pPr>
      <w:r>
        <w:rPr>
          <w:rFonts w:ascii="Arial" w:hAnsi="Arial" w:eastAsia="PingFang TC"/>
          <w:color w:val="000000"/>
          <w:sz w:val="22"/>
        </w:rPr>
        <w:t>是否採用模型呼叫、模型名稱、總預算與樣本內容應先與老師確認。App 核心使用不花模型 Token；研究品質評估若使用遠端 API，仍可能產生費用。不得用合成測試的 Token 減少直接推論品質不變。</w:t>
      </w:r>
    </w:p>
    <w:p>
      <w:pPr>
        <w:pStyle w:val="Heading2"/>
      </w:pPr>
      <w:r>
        <w:t>8 4 可用性研究</w:t>
      </w:r>
    </w:p>
    <w:p>
      <w:pPr>
        <w:jc w:val="both"/>
      </w:pPr>
      <w:r>
        <w:rPr>
          <w:rFonts w:ascii="Arial" w:hAnsi="Arial" w:eastAsia="PingFang TC"/>
          <w:color w:val="000000"/>
          <w:sz w:val="22"/>
        </w:rPr>
        <w:t>此項尚未招募。建議 6–10 位與目標族群相近的受試者，以交叉順序完成「從文字檔找提示詞」與「使用 App 找提示詞」任務，平衡先後順序影響。記錄完成時間、成功率、找錯版本次數及五點量表的主觀容易程度。樣本較小時以描述統計與限制說明為主，不推論整體企業族群。</w:t>
      </w:r>
    </w:p>
    <w:p>
      <w:pPr>
        <w:jc w:val="both"/>
      </w:pPr>
      <w:r>
        <w:rPr>
          <w:rFonts w:ascii="Arial" w:hAnsi="Arial" w:eastAsia="PingFang TC"/>
          <w:color w:val="000000"/>
          <w:sz w:val="22"/>
        </w:rPr>
        <w:t>資料採編號紀錄，取得受試者同意，不收集提示詞中的憑證或客戶私密資料；學校若要求研究倫理程序，依校方規定完成後再招募。</w:t>
      </w:r>
    </w:p>
    <w:p>
      <w:pPr>
        <w:pStyle w:val="Heading1"/>
      </w:pPr>
      <w:r>
        <w:t>九 工作分解 時程與分工</w:t>
      </w:r>
    </w:p>
    <w:p>
      <w:pPr>
        <w:jc w:val="both"/>
      </w:pPr>
      <w:r>
        <w:rPr>
          <w:rFonts w:ascii="Arial" w:hAnsi="Arial" w:eastAsia="PingFang TC"/>
          <w:color w:val="000000"/>
          <w:sz w:val="22"/>
        </w:rPr>
        <w:t>以下為相對週次建議，並非已確定的學校期限。以既有程式基礎、一名主要開發者每週 8–12 小時估算，研究整理與實測仍需學生參與。</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13"/>
        <w:gridCol w:w="3213"/>
        <w:gridCol w:w="3213"/>
      </w:tblGrid>
      <w:tr>
        <w:trPr>
          <w:tblHeader w:val="true"/>
        </w:trPr>
        <w:tc>
          <w:tcPr>
            <w:tcW w:type="dxa" w:w="3213"/>
            <w:vAlign w:val="center"/>
            <w:tcMar>
              <w:top w:w="100" w:type="dxa"/>
              <w:start w:w="120" w:type="dxa"/>
              <w:bottom w:w="100" w:type="dxa"/>
              <w:end w:w="120" w:type="dxa"/>
            </w:tcMar>
            <w:shd w:fill="6C493B"/>
          </w:tcPr>
          <w:p>
            <w:pPr>
              <w:spacing w:after="0"/>
            </w:pPr>
            <w:r>
              <w:rPr>
                <w:rFonts w:ascii="Arial" w:hAnsi="Arial" w:eastAsia="PingFang TC"/>
                <w:b/>
                <w:color w:val="FFFFFF"/>
                <w:sz w:val="19"/>
              </w:rPr>
              <w:t>週次</w:t>
            </w:r>
          </w:p>
        </w:tc>
        <w:tc>
          <w:tcPr>
            <w:tcW w:type="dxa" w:w="3213"/>
            <w:vAlign w:val="center"/>
            <w:tcMar>
              <w:top w:w="100" w:type="dxa"/>
              <w:start w:w="120" w:type="dxa"/>
              <w:bottom w:w="100" w:type="dxa"/>
              <w:end w:w="120" w:type="dxa"/>
            </w:tcMar>
            <w:shd w:fill="6C493B"/>
          </w:tcPr>
          <w:p>
            <w:pPr>
              <w:spacing w:after="0"/>
            </w:pPr>
            <w:r>
              <w:rPr>
                <w:rFonts w:ascii="Arial" w:hAnsi="Arial" w:eastAsia="PingFang TC"/>
                <w:b/>
                <w:color w:val="FFFFFF"/>
                <w:sz w:val="19"/>
              </w:rPr>
              <w:t>工作</w:t>
            </w:r>
          </w:p>
        </w:tc>
        <w:tc>
          <w:tcPr>
            <w:tcW w:type="dxa" w:w="3213"/>
            <w:vAlign w:val="center"/>
            <w:tcMar>
              <w:top w:w="100" w:type="dxa"/>
              <w:start w:w="120" w:type="dxa"/>
              <w:bottom w:w="100" w:type="dxa"/>
              <w:end w:w="120" w:type="dxa"/>
            </w:tcMar>
            <w:shd w:fill="6C493B"/>
          </w:tcPr>
          <w:p>
            <w:pPr>
              <w:spacing w:after="0"/>
            </w:pPr>
            <w:r>
              <w:rPr>
                <w:rFonts w:ascii="Arial" w:hAnsi="Arial" w:eastAsia="PingFang TC"/>
                <w:b/>
                <w:color w:val="FFFFFF"/>
                <w:sz w:val="19"/>
              </w:rPr>
              <w:t>交付與查核點</w:t>
            </w:r>
          </w:p>
        </w:tc>
      </w:tr>
      <w:tr>
        <w:tc>
          <w:tcPr>
            <w:tcW w:type="dxa" w:w="3213"/>
            <w:vAlign w:val="center"/>
            <w:tcMar>
              <w:top w:w="100" w:type="dxa"/>
              <w:start w:w="120" w:type="dxa"/>
              <w:bottom w:w="100" w:type="dxa"/>
              <w:end w:w="120" w:type="dxa"/>
            </w:tcMar>
            <w:shd w:fill="FFFFFF"/>
          </w:tcPr>
          <w:p>
            <w:pPr>
              <w:spacing w:after="0"/>
            </w:pPr>
            <w:r>
              <w:rPr>
                <w:rFonts w:ascii="Arial" w:hAnsi="Arial" w:eastAsia="PingFang TC"/>
                <w:b w:val="0"/>
                <w:color w:val="000000"/>
                <w:sz w:val="19"/>
              </w:rPr>
              <w:t>第 1 週</w:t>
            </w:r>
          </w:p>
        </w:tc>
        <w:tc>
          <w:tcPr>
            <w:tcW w:type="dxa" w:w="3213"/>
            <w:vAlign w:val="center"/>
            <w:tcMar>
              <w:top w:w="100" w:type="dxa"/>
              <w:start w:w="120" w:type="dxa"/>
              <w:bottom w:w="100" w:type="dxa"/>
              <w:end w:w="120" w:type="dxa"/>
            </w:tcMar>
            <w:shd w:fill="FFFFFF"/>
          </w:tcPr>
          <w:p>
            <w:pPr>
              <w:spacing w:after="0"/>
            </w:pPr>
            <w:r>
              <w:rPr>
                <w:rFonts w:ascii="Arial" w:hAnsi="Arial" w:eastAsia="PingFang TC"/>
                <w:b w:val="0"/>
                <w:color w:val="000000"/>
                <w:sz w:val="19"/>
              </w:rPr>
              <w:t>老師確認題目、研究問題與範圍</w:t>
            </w:r>
          </w:p>
        </w:tc>
        <w:tc>
          <w:tcPr>
            <w:tcW w:type="dxa" w:w="3213"/>
            <w:vAlign w:val="center"/>
            <w:tcMar>
              <w:top w:w="100" w:type="dxa"/>
              <w:start w:w="120" w:type="dxa"/>
              <w:bottom w:w="100" w:type="dxa"/>
              <w:end w:w="120" w:type="dxa"/>
            </w:tcMar>
            <w:shd w:fill="FFFFFF"/>
          </w:tcPr>
          <w:p>
            <w:pPr>
              <w:spacing w:after="0"/>
            </w:pPr>
            <w:r>
              <w:rPr>
                <w:rFonts w:ascii="Arial" w:hAnsi="Arial" w:eastAsia="PingFang TC"/>
                <w:b w:val="0"/>
                <w:color w:val="000000"/>
                <w:sz w:val="19"/>
              </w:rPr>
              <w:t>企劃與 spec 定稿</w:t>
            </w:r>
          </w:p>
        </w:tc>
      </w:tr>
      <w:tr>
        <w:tc>
          <w:tcPr>
            <w:tcW w:type="dxa" w:w="3213"/>
            <w:vAlign w:val="center"/>
            <w:tcMar>
              <w:top w:w="100" w:type="dxa"/>
              <w:start w:w="120" w:type="dxa"/>
              <w:bottom w:w="100" w:type="dxa"/>
              <w:end w:w="120" w:type="dxa"/>
            </w:tcMar>
            <w:shd w:fill="F6F1EC"/>
          </w:tcPr>
          <w:p>
            <w:pPr>
              <w:spacing w:after="0"/>
            </w:pPr>
            <w:r>
              <w:rPr>
                <w:rFonts w:ascii="Arial" w:hAnsi="Arial" w:eastAsia="PingFang TC"/>
                <w:b w:val="0"/>
                <w:color w:val="000000"/>
                <w:sz w:val="19"/>
              </w:rPr>
              <w:t>第 2–3 週</w:t>
            </w:r>
          </w:p>
        </w:tc>
        <w:tc>
          <w:tcPr>
            <w:tcW w:type="dxa" w:w="3213"/>
            <w:vAlign w:val="center"/>
            <w:tcMar>
              <w:top w:w="100" w:type="dxa"/>
              <w:start w:w="120" w:type="dxa"/>
              <w:bottom w:w="100" w:type="dxa"/>
              <w:end w:w="120" w:type="dxa"/>
            </w:tcMar>
            <w:shd w:fill="F6F1EC"/>
          </w:tcPr>
          <w:p>
            <w:pPr>
              <w:spacing w:after="0"/>
            </w:pPr>
            <w:r>
              <w:rPr>
                <w:rFonts w:ascii="Arial" w:hAnsi="Arial" w:eastAsia="PingFang TC"/>
                <w:b w:val="0"/>
                <w:color w:val="000000"/>
                <w:sz w:val="19"/>
              </w:rPr>
              <w:t>本機管理、模板、版本與檔案流程</w:t>
            </w:r>
          </w:p>
        </w:tc>
        <w:tc>
          <w:tcPr>
            <w:tcW w:type="dxa" w:w="3213"/>
            <w:vAlign w:val="center"/>
            <w:tcMar>
              <w:top w:w="100" w:type="dxa"/>
              <w:start w:w="120" w:type="dxa"/>
              <w:bottom w:w="100" w:type="dxa"/>
              <w:end w:w="120" w:type="dxa"/>
            </w:tcMar>
            <w:shd w:fill="F6F1EC"/>
          </w:tcPr>
          <w:p>
            <w:pPr>
              <w:spacing w:after="0"/>
            </w:pPr>
            <w:r>
              <w:rPr>
                <w:rFonts w:ascii="Arial" w:hAnsi="Arial" w:eastAsia="PingFang TC"/>
                <w:b w:val="0"/>
                <w:color w:val="000000"/>
                <w:sz w:val="19"/>
              </w:rPr>
              <w:t>可操作 App、功能測試</w:t>
            </w:r>
          </w:p>
        </w:tc>
      </w:tr>
      <w:tr>
        <w:tc>
          <w:tcPr>
            <w:tcW w:type="dxa" w:w="3213"/>
            <w:vAlign w:val="center"/>
            <w:tcMar>
              <w:top w:w="100" w:type="dxa"/>
              <w:start w:w="120" w:type="dxa"/>
              <w:bottom w:w="100" w:type="dxa"/>
              <w:end w:w="120" w:type="dxa"/>
            </w:tcMar>
            <w:shd w:fill="FFFFFF"/>
          </w:tcPr>
          <w:p>
            <w:pPr>
              <w:spacing w:after="0"/>
            </w:pPr>
            <w:r>
              <w:rPr>
                <w:rFonts w:ascii="Arial" w:hAnsi="Arial" w:eastAsia="PingFang TC"/>
                <w:b w:val="0"/>
                <w:color w:val="000000"/>
                <w:sz w:val="19"/>
              </w:rPr>
              <w:t>第 4 週</w:t>
            </w:r>
          </w:p>
        </w:tc>
        <w:tc>
          <w:tcPr>
            <w:tcW w:type="dxa" w:w="3213"/>
            <w:vAlign w:val="center"/>
            <w:tcMar>
              <w:top w:w="100" w:type="dxa"/>
              <w:start w:w="120" w:type="dxa"/>
              <w:bottom w:w="100" w:type="dxa"/>
              <w:end w:w="120" w:type="dxa"/>
            </w:tcMar>
            <w:shd w:fill="FFFFFF"/>
          </w:tcPr>
          <w:p>
            <w:pPr>
              <w:spacing w:after="0"/>
            </w:pPr>
            <w:r>
              <w:rPr>
                <w:rFonts w:ascii="Arial" w:hAnsi="Arial" w:eastAsia="PingFang TC"/>
                <w:b w:val="0"/>
                <w:color w:val="000000"/>
                <w:sz w:val="19"/>
              </w:rPr>
              <w:t>Token 計数、精簡規則、成本分析</w:t>
            </w:r>
          </w:p>
        </w:tc>
        <w:tc>
          <w:tcPr>
            <w:tcW w:type="dxa" w:w="3213"/>
            <w:vAlign w:val="center"/>
            <w:tcMar>
              <w:top w:w="100" w:type="dxa"/>
              <w:start w:w="120" w:type="dxa"/>
              <w:bottom w:w="100" w:type="dxa"/>
              <w:end w:w="120" w:type="dxa"/>
            </w:tcMar>
            <w:shd w:fill="FFFFFF"/>
          </w:tcPr>
          <w:p>
            <w:pPr>
              <w:spacing w:after="0"/>
            </w:pPr>
            <w:r>
              <w:rPr>
                <w:rFonts w:ascii="Arial" w:hAnsi="Arial" w:eastAsia="PingFang TC"/>
                <w:b w:val="0"/>
                <w:color w:val="000000"/>
                <w:sz w:val="19"/>
              </w:rPr>
              <w:t>可重現基準與錯誤案例</w:t>
            </w:r>
          </w:p>
        </w:tc>
      </w:tr>
      <w:tr>
        <w:tc>
          <w:tcPr>
            <w:tcW w:type="dxa" w:w="3213"/>
            <w:vAlign w:val="center"/>
            <w:tcMar>
              <w:top w:w="100" w:type="dxa"/>
              <w:start w:w="120" w:type="dxa"/>
              <w:bottom w:w="100" w:type="dxa"/>
              <w:end w:w="120" w:type="dxa"/>
            </w:tcMar>
            <w:shd w:fill="F6F1EC"/>
          </w:tcPr>
          <w:p>
            <w:pPr>
              <w:spacing w:after="0"/>
            </w:pPr>
            <w:r>
              <w:rPr>
                <w:rFonts w:ascii="Arial" w:hAnsi="Arial" w:eastAsia="PingFang TC"/>
                <w:b w:val="0"/>
                <w:color w:val="000000"/>
                <w:sz w:val="19"/>
              </w:rPr>
              <w:t>第 5 週</w:t>
            </w:r>
          </w:p>
        </w:tc>
        <w:tc>
          <w:tcPr>
            <w:tcW w:type="dxa" w:w="3213"/>
            <w:vAlign w:val="center"/>
            <w:tcMar>
              <w:top w:w="100" w:type="dxa"/>
              <w:start w:w="120" w:type="dxa"/>
              <w:bottom w:w="100" w:type="dxa"/>
              <w:end w:w="120" w:type="dxa"/>
            </w:tcMar>
            <w:shd w:fill="F6F1EC"/>
          </w:tcPr>
          <w:p>
            <w:pPr>
              <w:spacing w:after="0"/>
            </w:pPr>
            <w:r>
              <w:rPr>
                <w:rFonts w:ascii="Arial" w:hAnsi="Arial" w:eastAsia="PingFang TC"/>
                <w:b w:val="0"/>
                <w:color w:val="000000"/>
                <w:sz w:val="19"/>
              </w:rPr>
              <w:t>真實提示詞資料集與品質 rubric</w:t>
            </w:r>
          </w:p>
        </w:tc>
        <w:tc>
          <w:tcPr>
            <w:tcW w:type="dxa" w:w="3213"/>
            <w:vAlign w:val="center"/>
            <w:tcMar>
              <w:top w:w="100" w:type="dxa"/>
              <w:start w:w="120" w:type="dxa"/>
              <w:bottom w:w="100" w:type="dxa"/>
              <w:end w:w="120" w:type="dxa"/>
            </w:tcMar>
            <w:shd w:fill="F6F1EC"/>
          </w:tcPr>
          <w:p>
            <w:pPr>
              <w:spacing w:after="0"/>
            </w:pPr>
            <w:r>
              <w:rPr>
                <w:rFonts w:ascii="Arial" w:hAnsi="Arial" w:eastAsia="PingFang TC"/>
                <w:b w:val="0"/>
                <w:color w:val="000000"/>
                <w:sz w:val="19"/>
              </w:rPr>
              <w:t>去識別資料與評分表</w:t>
            </w:r>
          </w:p>
        </w:tc>
      </w:tr>
      <w:tr>
        <w:tc>
          <w:tcPr>
            <w:tcW w:type="dxa" w:w="3213"/>
            <w:vAlign w:val="center"/>
            <w:tcMar>
              <w:top w:w="100" w:type="dxa"/>
              <w:start w:w="120" w:type="dxa"/>
              <w:bottom w:w="100" w:type="dxa"/>
              <w:end w:w="120" w:type="dxa"/>
            </w:tcMar>
            <w:shd w:fill="FFFFFF"/>
          </w:tcPr>
          <w:p>
            <w:pPr>
              <w:spacing w:after="0"/>
            </w:pPr>
            <w:r>
              <w:rPr>
                <w:rFonts w:ascii="Arial" w:hAnsi="Arial" w:eastAsia="PingFang TC"/>
                <w:b w:val="0"/>
                <w:color w:val="000000"/>
                <w:sz w:val="19"/>
              </w:rPr>
              <w:t>第 6 週</w:t>
            </w:r>
          </w:p>
        </w:tc>
        <w:tc>
          <w:tcPr>
            <w:tcW w:type="dxa" w:w="3213"/>
            <w:vAlign w:val="center"/>
            <w:tcMar>
              <w:top w:w="100" w:type="dxa"/>
              <w:start w:w="120" w:type="dxa"/>
              <w:bottom w:w="100" w:type="dxa"/>
              <w:end w:w="120" w:type="dxa"/>
            </w:tcMar>
            <w:shd w:fill="FFFFFF"/>
          </w:tcPr>
          <w:p>
            <w:pPr>
              <w:spacing w:after="0"/>
            </w:pPr>
            <w:r>
              <w:rPr>
                <w:rFonts w:ascii="Arial" w:hAnsi="Arial" w:eastAsia="PingFang TC"/>
                <w:b w:val="0"/>
                <w:color w:val="000000"/>
                <w:sz w:val="19"/>
              </w:rPr>
              <w:t>品質比較及可用性試測</w:t>
            </w:r>
          </w:p>
        </w:tc>
        <w:tc>
          <w:tcPr>
            <w:tcW w:type="dxa" w:w="3213"/>
            <w:vAlign w:val="center"/>
            <w:tcMar>
              <w:top w:w="100" w:type="dxa"/>
              <w:start w:w="120" w:type="dxa"/>
              <w:bottom w:w="100" w:type="dxa"/>
              <w:end w:w="120" w:type="dxa"/>
            </w:tcMar>
            <w:shd w:fill="FFFFFF"/>
          </w:tcPr>
          <w:p>
            <w:pPr>
              <w:spacing w:after="0"/>
            </w:pPr>
            <w:r>
              <w:rPr>
                <w:rFonts w:ascii="Arial" w:hAnsi="Arial" w:eastAsia="PingFang TC"/>
                <w:b w:val="0"/>
                <w:color w:val="000000"/>
                <w:sz w:val="19"/>
              </w:rPr>
              <w:t>原始數據、限制與改進</w:t>
            </w:r>
          </w:p>
        </w:tc>
      </w:tr>
      <w:tr>
        <w:tc>
          <w:tcPr>
            <w:tcW w:type="dxa" w:w="3213"/>
            <w:vAlign w:val="center"/>
            <w:tcMar>
              <w:top w:w="100" w:type="dxa"/>
              <w:start w:w="120" w:type="dxa"/>
              <w:bottom w:w="100" w:type="dxa"/>
              <w:end w:w="120" w:type="dxa"/>
            </w:tcMar>
            <w:shd w:fill="F6F1EC"/>
          </w:tcPr>
          <w:p>
            <w:pPr>
              <w:spacing w:after="0"/>
            </w:pPr>
            <w:r>
              <w:rPr>
                <w:rFonts w:ascii="Arial" w:hAnsi="Arial" w:eastAsia="PingFang TC"/>
                <w:b w:val="0"/>
                <w:color w:val="000000"/>
                <w:sz w:val="19"/>
              </w:rPr>
              <w:t>第 7 週</w:t>
            </w:r>
          </w:p>
        </w:tc>
        <w:tc>
          <w:tcPr>
            <w:tcW w:type="dxa" w:w="3213"/>
            <w:vAlign w:val="center"/>
            <w:tcMar>
              <w:top w:w="100" w:type="dxa"/>
              <w:start w:w="120" w:type="dxa"/>
              <w:bottom w:w="100" w:type="dxa"/>
              <w:end w:w="120" w:type="dxa"/>
            </w:tcMar>
            <w:shd w:fill="F6F1EC"/>
          </w:tcPr>
          <w:p>
            <w:pPr>
              <w:spacing w:after="0"/>
            </w:pPr>
            <w:r>
              <w:rPr>
                <w:rFonts w:ascii="Arial" w:hAnsi="Arial" w:eastAsia="PingFang TC"/>
                <w:b w:val="0"/>
                <w:color w:val="000000"/>
                <w:sz w:val="19"/>
              </w:rPr>
              <w:t>修正操作問題、完整回歸</w:t>
            </w:r>
          </w:p>
        </w:tc>
        <w:tc>
          <w:tcPr>
            <w:tcW w:type="dxa" w:w="3213"/>
            <w:vAlign w:val="center"/>
            <w:tcMar>
              <w:top w:w="100" w:type="dxa"/>
              <w:start w:w="120" w:type="dxa"/>
              <w:bottom w:w="100" w:type="dxa"/>
              <w:end w:w="120" w:type="dxa"/>
            </w:tcMar>
            <w:shd w:fill="F6F1EC"/>
          </w:tcPr>
          <w:p>
            <w:pPr>
              <w:spacing w:after="0"/>
            </w:pPr>
            <w:r>
              <w:rPr>
                <w:rFonts w:ascii="Arial" w:hAnsi="Arial" w:eastAsia="PingFang TC"/>
                <w:b w:val="0"/>
                <w:color w:val="000000"/>
                <w:sz w:val="19"/>
              </w:rPr>
              <w:t>驗收紀錄與測試版本</w:t>
            </w:r>
          </w:p>
        </w:tc>
      </w:tr>
      <w:tr>
        <w:tc>
          <w:tcPr>
            <w:tcW w:type="dxa" w:w="3213"/>
            <w:vAlign w:val="center"/>
            <w:tcMar>
              <w:top w:w="100" w:type="dxa"/>
              <w:start w:w="120" w:type="dxa"/>
              <w:bottom w:w="100" w:type="dxa"/>
              <w:end w:w="120" w:type="dxa"/>
            </w:tcMar>
            <w:shd w:fill="FFFFFF"/>
          </w:tcPr>
          <w:p>
            <w:pPr>
              <w:spacing w:after="0"/>
            </w:pPr>
            <w:r>
              <w:rPr>
                <w:rFonts w:ascii="Arial" w:hAnsi="Arial" w:eastAsia="PingFang TC"/>
                <w:b w:val="0"/>
                <w:color w:val="000000"/>
                <w:sz w:val="19"/>
              </w:rPr>
              <w:t>第 8 週</w:t>
            </w:r>
          </w:p>
        </w:tc>
        <w:tc>
          <w:tcPr>
            <w:tcW w:type="dxa" w:w="3213"/>
            <w:vAlign w:val="center"/>
            <w:tcMar>
              <w:top w:w="100" w:type="dxa"/>
              <w:start w:w="120" w:type="dxa"/>
              <w:bottom w:w="100" w:type="dxa"/>
              <w:end w:w="120" w:type="dxa"/>
            </w:tcMar>
            <w:shd w:fill="FFFFFF"/>
          </w:tcPr>
          <w:p>
            <w:pPr>
              <w:spacing w:after="0"/>
            </w:pPr>
            <w:r>
              <w:rPr>
                <w:rFonts w:ascii="Arial" w:hAnsi="Arial" w:eastAsia="PingFang TC"/>
                <w:b w:val="0"/>
                <w:color w:val="000000"/>
                <w:sz w:val="19"/>
              </w:rPr>
              <w:t>論文式報告、簡報、影片與展示</w:t>
            </w:r>
          </w:p>
        </w:tc>
        <w:tc>
          <w:tcPr>
            <w:tcW w:type="dxa" w:w="3213"/>
            <w:vAlign w:val="center"/>
            <w:tcMar>
              <w:top w:w="100" w:type="dxa"/>
              <w:start w:w="120" w:type="dxa"/>
              <w:bottom w:w="100" w:type="dxa"/>
              <w:end w:w="120" w:type="dxa"/>
            </w:tcMar>
            <w:shd w:fill="FFFFFF"/>
          </w:tcPr>
          <w:p>
            <w:pPr>
              <w:spacing w:after="0"/>
            </w:pPr>
            <w:r>
              <w:rPr>
                <w:rFonts w:ascii="Arial" w:hAnsi="Arial" w:eastAsia="PingFang TC"/>
                <w:b w:val="0"/>
                <w:color w:val="000000"/>
                <w:sz w:val="19"/>
              </w:rPr>
              <w:t>期末交付包</w:t>
            </w:r>
          </w:p>
        </w:tc>
      </w:tr>
    </w:tbl>
    <w:p>
      <w:pPr>
        <w:spacing w:after="40"/>
      </w:pPr>
    </w:p>
    <w:p>
      <w:pPr>
        <w:jc w:val="both"/>
      </w:pPr>
      <w:r>
        <w:rPr>
          <w:rFonts w:ascii="Arial" w:hAnsi="Arial" w:eastAsia="PingFang TC"/>
          <w:color w:val="000000"/>
          <w:sz w:val="22"/>
        </w:rPr>
        <w:t>角色建議：學生負責題目決策、老師溝通、程式理解、研究倫理、受試者招募與結果解釋；AI 工具協助開發、文件草稿與測試；指導老師確認研究問題、研究方法及學術要求。若組員增加，可分成前端／可用性、後端／資料安全、研究／文件三個工作項，但不要虛構已分派的人員。</w:t>
      </w:r>
    </w:p>
    <w:p>
      <w:pPr>
        <w:pStyle w:val="Heading1"/>
      </w:pPr>
      <w:r>
        <w:t>十 設備與經費</w:t>
      </w:r>
    </w:p>
    <w:p>
      <w:pPr>
        <w:jc w:val="both"/>
      </w:pPr>
      <w:r>
        <w:rPr>
          <w:rFonts w:ascii="Arial" w:hAnsi="Arial" w:eastAsia="PingFang TC"/>
          <w:color w:val="000000"/>
          <w:sz w:val="22"/>
        </w:rPr>
        <w:t>開發需要既有 macOS 電腦、Python、瀏覽器及本機磁碟。核心 App 無需雲端主機或模型 API；套件須遵守各自授權並在交付中保留來源。建議預留文件印製、受試者相關支出與可選 API 實驗費，金額由老師與學生確認，不引用過期補助標準當作本案預算。</w:t>
      </w:r>
    </w:p>
    <w:p>
      <w:pPr>
        <w:jc w:val="both"/>
      </w:pPr>
      <w:r>
        <w:rPr>
          <w:rFonts w:ascii="Arial" w:hAnsi="Arial" w:eastAsia="PingFang TC"/>
          <w:color w:val="000000"/>
          <w:sz w:val="22"/>
        </w:rPr>
        <w:t>若只進行本機功能与 Token 實驗，新增模型 API 成本為零。若進行品質實驗，先依提示詞／輸出長度、樣本數與重複次數估算上限，完成預算決策後再執行。對外公開發布的 Apple Developer 費用與 notarization 亦屬另一項部署決策。</w:t>
      </w:r>
    </w:p>
    <w:p>
      <w:pPr>
        <w:pStyle w:val="Heading1"/>
      </w:pPr>
      <w:r>
        <w:t>十一 風險與因應</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13"/>
        <w:gridCol w:w="3213"/>
        <w:gridCol w:w="3213"/>
      </w:tblGrid>
      <w:tr>
        <w:trPr>
          <w:tblHeader w:val="true"/>
        </w:trPr>
        <w:tc>
          <w:tcPr>
            <w:tcW w:type="dxa" w:w="3213"/>
            <w:vAlign w:val="center"/>
            <w:tcMar>
              <w:top w:w="100" w:type="dxa"/>
              <w:start w:w="120" w:type="dxa"/>
              <w:bottom w:w="100" w:type="dxa"/>
              <w:end w:w="120" w:type="dxa"/>
            </w:tcMar>
            <w:shd w:fill="6C493B"/>
          </w:tcPr>
          <w:p>
            <w:pPr>
              <w:spacing w:after="0"/>
            </w:pPr>
            <w:r>
              <w:rPr>
                <w:rFonts w:ascii="Arial" w:hAnsi="Arial" w:eastAsia="PingFang TC"/>
                <w:b/>
                <w:color w:val="FFFFFF"/>
                <w:sz w:val="19"/>
              </w:rPr>
              <w:t>風險</w:t>
            </w:r>
          </w:p>
        </w:tc>
        <w:tc>
          <w:tcPr>
            <w:tcW w:type="dxa" w:w="3213"/>
            <w:vAlign w:val="center"/>
            <w:tcMar>
              <w:top w:w="100" w:type="dxa"/>
              <w:start w:w="120" w:type="dxa"/>
              <w:bottom w:w="100" w:type="dxa"/>
              <w:end w:w="120" w:type="dxa"/>
            </w:tcMar>
            <w:shd w:fill="6C493B"/>
          </w:tcPr>
          <w:p>
            <w:pPr>
              <w:spacing w:after="0"/>
            </w:pPr>
            <w:r>
              <w:rPr>
                <w:rFonts w:ascii="Arial" w:hAnsi="Arial" w:eastAsia="PingFang TC"/>
                <w:b/>
                <w:color w:val="FFFFFF"/>
                <w:sz w:val="19"/>
              </w:rPr>
              <w:t>影響</w:t>
            </w:r>
          </w:p>
        </w:tc>
        <w:tc>
          <w:tcPr>
            <w:tcW w:type="dxa" w:w="3213"/>
            <w:vAlign w:val="center"/>
            <w:tcMar>
              <w:top w:w="100" w:type="dxa"/>
              <w:start w:w="120" w:type="dxa"/>
              <w:bottom w:w="100" w:type="dxa"/>
              <w:end w:w="120" w:type="dxa"/>
            </w:tcMar>
            <w:shd w:fill="6C493B"/>
          </w:tcPr>
          <w:p>
            <w:pPr>
              <w:spacing w:after="0"/>
            </w:pPr>
            <w:r>
              <w:rPr>
                <w:rFonts w:ascii="Arial" w:hAnsi="Arial" w:eastAsia="PingFang TC"/>
                <w:b/>
                <w:color w:val="FFFFFF"/>
                <w:sz w:val="19"/>
              </w:rPr>
              <w:t>因應</w:t>
            </w:r>
          </w:p>
        </w:tc>
      </w:tr>
      <w:tr>
        <w:tc>
          <w:tcPr>
            <w:tcW w:type="dxa" w:w="3213"/>
            <w:vAlign w:val="center"/>
            <w:tcMar>
              <w:top w:w="100" w:type="dxa"/>
              <w:start w:w="120" w:type="dxa"/>
              <w:bottom w:w="100" w:type="dxa"/>
              <w:end w:w="120" w:type="dxa"/>
            </w:tcMar>
            <w:shd w:fill="FFFFFF"/>
          </w:tcPr>
          <w:p>
            <w:pPr>
              <w:spacing w:after="0"/>
            </w:pPr>
            <w:r>
              <w:rPr>
                <w:rFonts w:ascii="Arial" w:hAnsi="Arial" w:eastAsia="PingFang TC"/>
                <w:b w:val="0"/>
                <w:color w:val="000000"/>
                <w:sz w:val="19"/>
              </w:rPr>
              <w:t>精簡刪除必要語意</w:t>
            </w:r>
          </w:p>
        </w:tc>
        <w:tc>
          <w:tcPr>
            <w:tcW w:type="dxa" w:w="3213"/>
            <w:vAlign w:val="center"/>
            <w:tcMar>
              <w:top w:w="100" w:type="dxa"/>
              <w:start w:w="120" w:type="dxa"/>
              <w:bottom w:w="100" w:type="dxa"/>
              <w:end w:w="120" w:type="dxa"/>
            </w:tcMar>
            <w:shd w:fill="FFFFFF"/>
          </w:tcPr>
          <w:p>
            <w:pPr>
              <w:spacing w:after="0"/>
            </w:pPr>
            <w:r>
              <w:rPr>
                <w:rFonts w:ascii="Arial" w:hAnsi="Arial" w:eastAsia="PingFang TC"/>
                <w:b w:val="0"/>
                <w:color w:val="000000"/>
                <w:sz w:val="19"/>
              </w:rPr>
              <w:t>模型結果退步</w:t>
            </w:r>
          </w:p>
        </w:tc>
        <w:tc>
          <w:tcPr>
            <w:tcW w:type="dxa" w:w="3213"/>
            <w:vAlign w:val="center"/>
            <w:tcMar>
              <w:top w:w="100" w:type="dxa"/>
              <w:start w:w="120" w:type="dxa"/>
              <w:bottom w:w="100" w:type="dxa"/>
              <w:end w:w="120" w:type="dxa"/>
            </w:tcMar>
            <w:shd w:fill="FFFFFF"/>
          </w:tcPr>
          <w:p>
            <w:pPr>
              <w:spacing w:after="0"/>
            </w:pPr>
            <w:r>
              <w:rPr>
                <w:rFonts w:ascii="Arial" w:hAnsi="Arial" w:eastAsia="PingFang TC"/>
                <w:b w:val="0"/>
                <w:color w:val="000000"/>
                <w:sz w:val="19"/>
              </w:rPr>
              <w:t>規則範圍小、Diff、人工選擇、品質實驗</w:t>
            </w:r>
          </w:p>
        </w:tc>
      </w:tr>
      <w:tr>
        <w:tc>
          <w:tcPr>
            <w:tcW w:type="dxa" w:w="3213"/>
            <w:vAlign w:val="center"/>
            <w:tcMar>
              <w:top w:w="100" w:type="dxa"/>
              <w:start w:w="120" w:type="dxa"/>
              <w:bottom w:w="100" w:type="dxa"/>
              <w:end w:w="120" w:type="dxa"/>
            </w:tcMar>
            <w:shd w:fill="F6F1EC"/>
          </w:tcPr>
          <w:p>
            <w:pPr>
              <w:spacing w:after="0"/>
            </w:pPr>
            <w:r>
              <w:rPr>
                <w:rFonts w:ascii="Arial" w:hAnsi="Arial" w:eastAsia="PingFang TC"/>
                <w:b w:val="0"/>
                <w:color w:val="000000"/>
                <w:sz w:val="19"/>
              </w:rPr>
              <w:t>Token 數不等於實際帳單</w:t>
            </w:r>
          </w:p>
        </w:tc>
        <w:tc>
          <w:tcPr>
            <w:tcW w:type="dxa" w:w="3213"/>
            <w:vAlign w:val="center"/>
            <w:tcMar>
              <w:top w:w="100" w:type="dxa"/>
              <w:start w:w="120" w:type="dxa"/>
              <w:bottom w:w="100" w:type="dxa"/>
              <w:end w:w="120" w:type="dxa"/>
            </w:tcMar>
            <w:shd w:fill="F6F1EC"/>
          </w:tcPr>
          <w:p>
            <w:pPr>
              <w:spacing w:after="0"/>
            </w:pPr>
            <w:r>
              <w:rPr>
                <w:rFonts w:ascii="Arial" w:hAnsi="Arial" w:eastAsia="PingFang TC"/>
                <w:b w:val="0"/>
                <w:color w:val="000000"/>
                <w:sz w:val="19"/>
              </w:rPr>
              <w:t>費用誤判</w:t>
            </w:r>
          </w:p>
        </w:tc>
        <w:tc>
          <w:tcPr>
            <w:tcW w:type="dxa" w:w="3213"/>
            <w:vAlign w:val="center"/>
            <w:tcMar>
              <w:top w:w="100" w:type="dxa"/>
              <w:start w:w="120" w:type="dxa"/>
              <w:bottom w:w="100" w:type="dxa"/>
              <w:end w:w="120" w:type="dxa"/>
            </w:tcMar>
            <w:shd w:fill="F6F1EC"/>
          </w:tcPr>
          <w:p>
            <w:pPr>
              <w:spacing w:after="0"/>
            </w:pPr>
            <w:r>
              <w:rPr>
                <w:rFonts w:ascii="Arial" w:hAnsi="Arial" w:eastAsia="PingFang TC"/>
                <w:b w:val="0"/>
                <w:color w:val="000000"/>
                <w:sz w:val="19"/>
              </w:rPr>
              <w:t>顯示 encoding、計算範圍與自訂單價</w:t>
            </w:r>
          </w:p>
        </w:tc>
      </w:tr>
      <w:tr>
        <w:tc>
          <w:tcPr>
            <w:tcW w:type="dxa" w:w="3213"/>
            <w:vAlign w:val="center"/>
            <w:tcMar>
              <w:top w:w="100" w:type="dxa"/>
              <w:start w:w="120" w:type="dxa"/>
              <w:bottom w:w="100" w:type="dxa"/>
              <w:end w:w="120" w:type="dxa"/>
            </w:tcMar>
            <w:shd w:fill="FFFFFF"/>
          </w:tcPr>
          <w:p>
            <w:pPr>
              <w:spacing w:after="0"/>
            </w:pPr>
            <w:r>
              <w:rPr>
                <w:rFonts w:ascii="Arial" w:hAnsi="Arial" w:eastAsia="PingFang TC"/>
                <w:b w:val="0"/>
                <w:color w:val="000000"/>
                <w:sz w:val="19"/>
              </w:rPr>
              <w:t>規格與價格過期</w:t>
            </w:r>
          </w:p>
        </w:tc>
        <w:tc>
          <w:tcPr>
            <w:tcW w:type="dxa" w:w="3213"/>
            <w:vAlign w:val="center"/>
            <w:tcMar>
              <w:top w:w="100" w:type="dxa"/>
              <w:start w:w="120" w:type="dxa"/>
              <w:bottom w:w="100" w:type="dxa"/>
              <w:end w:w="120" w:type="dxa"/>
            </w:tcMar>
            <w:shd w:fill="FFFFFF"/>
          </w:tcPr>
          <w:p>
            <w:pPr>
              <w:spacing w:after="0"/>
            </w:pPr>
            <w:r>
              <w:rPr>
                <w:rFonts w:ascii="Arial" w:hAnsi="Arial" w:eastAsia="PingFang TC"/>
                <w:b w:val="0"/>
                <w:color w:val="000000"/>
                <w:sz w:val="19"/>
              </w:rPr>
              <w:t>平台相容資訊錯誤</w:t>
            </w:r>
          </w:p>
        </w:tc>
        <w:tc>
          <w:tcPr>
            <w:tcW w:type="dxa" w:w="3213"/>
            <w:vAlign w:val="center"/>
            <w:tcMar>
              <w:top w:w="100" w:type="dxa"/>
              <w:start w:w="120" w:type="dxa"/>
              <w:bottom w:w="100" w:type="dxa"/>
              <w:end w:w="120" w:type="dxa"/>
            </w:tcMar>
            <w:shd w:fill="FFFFFF"/>
          </w:tcPr>
          <w:p>
            <w:pPr>
              <w:spacing w:after="0"/>
            </w:pPr>
            <w:r>
              <w:rPr>
                <w:rFonts w:ascii="Arial" w:hAnsi="Arial" w:eastAsia="PingFang TC"/>
                <w:b w:val="0"/>
                <w:color w:val="000000"/>
                <w:sz w:val="19"/>
              </w:rPr>
              <w:t>保存日期，查證後才更新；不承諾全平台精準</w:t>
            </w:r>
          </w:p>
        </w:tc>
      </w:tr>
      <w:tr>
        <w:tc>
          <w:tcPr>
            <w:tcW w:type="dxa" w:w="3213"/>
            <w:vAlign w:val="center"/>
            <w:tcMar>
              <w:top w:w="100" w:type="dxa"/>
              <w:start w:w="120" w:type="dxa"/>
              <w:bottom w:w="100" w:type="dxa"/>
              <w:end w:w="120" w:type="dxa"/>
            </w:tcMar>
            <w:shd w:fill="F6F1EC"/>
          </w:tcPr>
          <w:p>
            <w:pPr>
              <w:spacing w:after="0"/>
            </w:pPr>
            <w:r>
              <w:rPr>
                <w:rFonts w:ascii="Arial" w:hAnsi="Arial" w:eastAsia="PingFang TC"/>
                <w:b w:val="0"/>
                <w:color w:val="000000"/>
                <w:sz w:val="19"/>
              </w:rPr>
              <w:t>檔案被其他工具修改</w:t>
            </w:r>
          </w:p>
        </w:tc>
        <w:tc>
          <w:tcPr>
            <w:tcW w:type="dxa" w:w="3213"/>
            <w:vAlign w:val="center"/>
            <w:tcMar>
              <w:top w:w="100" w:type="dxa"/>
              <w:start w:w="120" w:type="dxa"/>
              <w:bottom w:w="100" w:type="dxa"/>
              <w:end w:w="120" w:type="dxa"/>
            </w:tcMar>
            <w:shd w:fill="F6F1EC"/>
          </w:tcPr>
          <w:p>
            <w:pPr>
              <w:spacing w:after="0"/>
            </w:pPr>
            <w:r>
              <w:rPr>
                <w:rFonts w:ascii="Arial" w:hAnsi="Arial" w:eastAsia="PingFang TC"/>
                <w:b w:val="0"/>
                <w:color w:val="000000"/>
                <w:sz w:val="19"/>
              </w:rPr>
              <w:t>覆蓋使用者內容</w:t>
            </w:r>
          </w:p>
        </w:tc>
        <w:tc>
          <w:tcPr>
            <w:tcW w:type="dxa" w:w="3213"/>
            <w:vAlign w:val="center"/>
            <w:tcMar>
              <w:top w:w="100" w:type="dxa"/>
              <w:start w:w="120" w:type="dxa"/>
              <w:bottom w:w="100" w:type="dxa"/>
              <w:end w:w="120" w:type="dxa"/>
            </w:tcMar>
            <w:shd w:fill="F6F1EC"/>
          </w:tcPr>
          <w:p>
            <w:pPr>
              <w:spacing w:after="0"/>
            </w:pPr>
            <w:r>
              <w:rPr>
                <w:rFonts w:ascii="Arial" w:hAnsi="Arial" w:eastAsia="PingFang TC"/>
                <w:b w:val="0"/>
                <w:color w:val="000000"/>
                <w:sz w:val="19"/>
              </w:rPr>
              <w:t>雜湊檢查、備份、拒絕陳舊預覽</w:t>
            </w:r>
          </w:p>
        </w:tc>
      </w:tr>
      <w:tr>
        <w:tc>
          <w:tcPr>
            <w:tcW w:type="dxa" w:w="3213"/>
            <w:vAlign w:val="center"/>
            <w:tcMar>
              <w:top w:w="100" w:type="dxa"/>
              <w:start w:w="120" w:type="dxa"/>
              <w:bottom w:w="100" w:type="dxa"/>
              <w:end w:w="120" w:type="dxa"/>
            </w:tcMar>
            <w:shd w:fill="FFFFFF"/>
          </w:tcPr>
          <w:p>
            <w:pPr>
              <w:spacing w:after="0"/>
            </w:pPr>
            <w:r>
              <w:rPr>
                <w:rFonts w:ascii="Arial" w:hAnsi="Arial" w:eastAsia="PingFang TC"/>
                <w:b w:val="0"/>
                <w:color w:val="000000"/>
                <w:sz w:val="19"/>
              </w:rPr>
              <w:t>提示詞含憑證／敏感內容</w:t>
            </w:r>
          </w:p>
        </w:tc>
        <w:tc>
          <w:tcPr>
            <w:tcW w:type="dxa" w:w="3213"/>
            <w:vAlign w:val="center"/>
            <w:tcMar>
              <w:top w:w="100" w:type="dxa"/>
              <w:start w:w="120" w:type="dxa"/>
              <w:bottom w:w="100" w:type="dxa"/>
              <w:end w:w="120" w:type="dxa"/>
            </w:tcMar>
            <w:shd w:fill="FFFFFF"/>
          </w:tcPr>
          <w:p>
            <w:pPr>
              <w:spacing w:after="0"/>
            </w:pPr>
            <w:r>
              <w:rPr>
                <w:rFonts w:ascii="Arial" w:hAnsi="Arial" w:eastAsia="PingFang TC"/>
                <w:b w:val="0"/>
                <w:color w:val="000000"/>
                <w:sz w:val="19"/>
              </w:rPr>
              <w:t>外部貼上時洩漏</w:t>
            </w:r>
          </w:p>
        </w:tc>
        <w:tc>
          <w:tcPr>
            <w:tcW w:type="dxa" w:w="3213"/>
            <w:vAlign w:val="center"/>
            <w:tcMar>
              <w:top w:w="100" w:type="dxa"/>
              <w:start w:w="120" w:type="dxa"/>
              <w:bottom w:w="100" w:type="dxa"/>
              <w:end w:w="120" w:type="dxa"/>
            </w:tcMar>
            <w:shd w:fill="FFFFFF"/>
          </w:tcPr>
          <w:p>
            <w:pPr>
              <w:spacing w:after="0"/>
            </w:pPr>
            <w:r>
              <w:rPr>
                <w:rFonts w:ascii="Arial" w:hAnsi="Arial" w:eastAsia="PingFang TC"/>
                <w:b w:val="0"/>
                <w:color w:val="000000"/>
                <w:sz w:val="19"/>
              </w:rPr>
              <w:t>本機處理與疑似憑證提醒，使用去識別資料</w:t>
            </w:r>
          </w:p>
        </w:tc>
      </w:tr>
      <w:tr>
        <w:tc>
          <w:tcPr>
            <w:tcW w:type="dxa" w:w="3213"/>
            <w:vAlign w:val="center"/>
            <w:tcMar>
              <w:top w:w="100" w:type="dxa"/>
              <w:start w:w="120" w:type="dxa"/>
              <w:bottom w:w="100" w:type="dxa"/>
              <w:end w:w="120" w:type="dxa"/>
            </w:tcMar>
            <w:shd w:fill="F6F1EC"/>
          </w:tcPr>
          <w:p>
            <w:pPr>
              <w:spacing w:after="0"/>
            </w:pPr>
            <w:r>
              <w:rPr>
                <w:rFonts w:ascii="Arial" w:hAnsi="Arial" w:eastAsia="PingFang TC"/>
                <w:b w:val="0"/>
                <w:color w:val="000000"/>
                <w:sz w:val="19"/>
              </w:rPr>
              <w:t>題目擴大為企業平台</w:t>
            </w:r>
          </w:p>
        </w:tc>
        <w:tc>
          <w:tcPr>
            <w:tcW w:type="dxa" w:w="3213"/>
            <w:vAlign w:val="center"/>
            <w:tcMar>
              <w:top w:w="100" w:type="dxa"/>
              <w:start w:w="120" w:type="dxa"/>
              <w:bottom w:w="100" w:type="dxa"/>
              <w:end w:w="120" w:type="dxa"/>
            </w:tcMar>
            <w:shd w:fill="F6F1EC"/>
          </w:tcPr>
          <w:p>
            <w:pPr>
              <w:spacing w:after="0"/>
            </w:pPr>
            <w:r>
              <w:rPr>
                <w:rFonts w:ascii="Arial" w:hAnsi="Arial" w:eastAsia="PingFang TC"/>
                <w:b w:val="0"/>
                <w:color w:val="000000"/>
                <w:sz w:val="19"/>
              </w:rPr>
              <w:t>無法準時完成</w:t>
            </w:r>
          </w:p>
        </w:tc>
        <w:tc>
          <w:tcPr>
            <w:tcW w:type="dxa" w:w="3213"/>
            <w:vAlign w:val="center"/>
            <w:tcMar>
              <w:top w:w="100" w:type="dxa"/>
              <w:start w:w="120" w:type="dxa"/>
              <w:bottom w:w="100" w:type="dxa"/>
              <w:end w:w="120" w:type="dxa"/>
            </w:tcMar>
            <w:shd w:fill="F6F1EC"/>
          </w:tcPr>
          <w:p>
            <w:pPr>
              <w:spacing w:after="0"/>
            </w:pPr>
            <w:r>
              <w:rPr>
                <w:rFonts w:ascii="Arial" w:hAnsi="Arial" w:eastAsia="PingFang TC"/>
                <w:b w:val="0"/>
                <w:color w:val="000000"/>
                <w:sz w:val="19"/>
              </w:rPr>
              <w:t>優先單人 macOS 核心與研究評估</w:t>
            </w:r>
          </w:p>
        </w:tc>
      </w:tr>
      <w:tr>
        <w:tc>
          <w:tcPr>
            <w:tcW w:type="dxa" w:w="3213"/>
            <w:vAlign w:val="center"/>
            <w:tcMar>
              <w:top w:w="100" w:type="dxa"/>
              <w:start w:w="120" w:type="dxa"/>
              <w:bottom w:w="100" w:type="dxa"/>
              <w:end w:w="120" w:type="dxa"/>
            </w:tcMar>
            <w:shd w:fill="FFFFFF"/>
          </w:tcPr>
          <w:p>
            <w:pPr>
              <w:spacing w:after="0"/>
            </w:pPr>
            <w:r>
              <w:rPr>
                <w:rFonts w:ascii="Arial" w:hAnsi="Arial" w:eastAsia="PingFang TC"/>
                <w:b w:val="0"/>
                <w:color w:val="000000"/>
                <w:sz w:val="19"/>
              </w:rPr>
              <w:t>實驗樣本偏差</w:t>
            </w:r>
          </w:p>
        </w:tc>
        <w:tc>
          <w:tcPr>
            <w:tcW w:type="dxa" w:w="3213"/>
            <w:vAlign w:val="center"/>
            <w:tcMar>
              <w:top w:w="100" w:type="dxa"/>
              <w:start w:w="120" w:type="dxa"/>
              <w:bottom w:w="100" w:type="dxa"/>
              <w:end w:w="120" w:type="dxa"/>
            </w:tcMar>
            <w:shd w:fill="FFFFFF"/>
          </w:tcPr>
          <w:p>
            <w:pPr>
              <w:spacing w:after="0"/>
            </w:pPr>
            <w:r>
              <w:rPr>
                <w:rFonts w:ascii="Arial" w:hAnsi="Arial" w:eastAsia="PingFang TC"/>
                <w:b w:val="0"/>
                <w:color w:val="000000"/>
                <w:sz w:val="19"/>
              </w:rPr>
              <w:t>節省比例不可泛化</w:t>
            </w:r>
          </w:p>
        </w:tc>
        <w:tc>
          <w:tcPr>
            <w:tcW w:type="dxa" w:w="3213"/>
            <w:vAlign w:val="center"/>
            <w:tcMar>
              <w:top w:w="100" w:type="dxa"/>
              <w:start w:w="120" w:type="dxa"/>
              <w:bottom w:w="100" w:type="dxa"/>
              <w:end w:w="120" w:type="dxa"/>
            </w:tcMar>
            <w:shd w:fill="FFFFFF"/>
          </w:tcPr>
          <w:p>
            <w:pPr>
              <w:spacing w:after="0"/>
            </w:pPr>
            <w:r>
              <w:rPr>
                <w:rFonts w:ascii="Arial" w:hAnsi="Arial" w:eastAsia="PingFang TC"/>
                <w:b w:val="0"/>
                <w:color w:val="000000"/>
                <w:sz w:val="19"/>
              </w:rPr>
              <w:t>揭露資料來源與零改善樣本，不編造結論</w:t>
            </w:r>
          </w:p>
        </w:tc>
      </w:tr>
    </w:tbl>
    <w:p>
      <w:pPr>
        <w:spacing w:after="40"/>
      </w:pPr>
    </w:p>
    <w:p>
      <w:pPr>
        <w:pStyle w:val="Heading1"/>
      </w:pPr>
      <w:r>
        <w:t>十二 預期成果與目前狀態</w:t>
      </w:r>
    </w:p>
    <w:p>
      <w:pPr>
        <w:jc w:val="both"/>
      </w:pPr>
      <w:r>
        <w:rPr>
          <w:rFonts w:ascii="Arial" w:hAnsi="Arial" w:eastAsia="PingFang TC"/>
          <w:color w:val="000000"/>
          <w:sz w:val="22"/>
        </w:rPr>
        <w:t>軟體成果包括提示詞工作台、Agent 記憶檔工具、Token 分析、SQLite 版本紀錄、本機 Markdown 操作與平行測試 App。文件成果包括本企劃書、完整 spec、符合度稽核、測試／研究規畫及 Demo 腳本。</w:t>
      </w:r>
    </w:p>
    <w:p>
      <w:pPr>
        <w:jc w:val="both"/>
      </w:pPr>
      <w:r>
        <w:rPr>
          <w:rFonts w:ascii="Arial" w:hAnsi="Arial" w:eastAsia="PingFang TC"/>
          <w:color w:val="000000"/>
          <w:sz w:val="22"/>
        </w:rPr>
        <w:t>2026-09-25 已具備可執行的工程核心與合成文本 Token 測量；目前沒有真人可用性數據或模型回答品質對照數據。因此本企劃的「研究貢獻」是待以實驗驗證的系統設計與假說，不把開發完成當成研究結論成立。</w:t>
      </w:r>
    </w:p>
    <w:p>
      <w:pPr>
        <w:pStyle w:val="Heading1"/>
      </w:pPr>
      <w:r>
        <w:t>十三 需要老師協助確認的事項</w:t>
      </w:r>
    </w:p>
    <w:p>
      <w:pPr>
        <w:jc w:val="both"/>
      </w:pPr>
      <w:r>
        <w:rPr>
          <w:rFonts w:ascii="Arial" w:hAnsi="Arial" w:eastAsia="PingFang TC"/>
          <w:color w:val="000000"/>
          <w:sz w:val="22"/>
        </w:rPr>
        <w:t>請老師確認題目名稱、所需研究深度、研究成果與工程成果的比重、可用性試測是否需要校內程序、品質評分標準、可選模型實驗經費、正式期限及學校文件模板。這些確認影響後續研究安排，不妨礙先交付本機軟體與完整規格。</w:t>
      </w:r>
    </w:p>
    <w:p>
      <w:pPr>
        <w:pStyle w:val="Heading1"/>
      </w:pPr>
      <w:r>
        <w:t>十四 可傳給老師的更新說明</w:t>
      </w:r>
    </w:p>
    <w:p>
      <w:pPr>
        <w:jc w:val="both"/>
      </w:pPr>
      <w:r>
        <w:rPr>
          <w:rFonts w:ascii="Arial" w:hAnsi="Arial" w:eastAsia="PingFang TC"/>
          <w:color w:val="000000"/>
          <w:sz w:val="22"/>
        </w:rPr>
        <w:t>本專題暫定為「AI 提示詞（Prompt）視覺化管理 App」。系統以專案為單位整理提示詞，提供引導式編寫、分類搜尋、版本管理及本機 Markdown 匯入／匯出，並透過本機 Token 計數與可解釋的精簡建議，協助使用者了解提示詞輸入量與可能成本。我們預計比較整理效率、Token 減少比例及精簡前後的任務品質；不以字數減少直接宣稱回答更好或保證省錢。目前已有可操作原型，接下來希望與老師確認研究指標及試測方法。</w:t>
      </w:r>
    </w:p>
    <w:p>
      <w:pPr>
        <w:pStyle w:val="Heading1"/>
      </w:pPr>
      <w:r>
        <w:t>參考資料</w:t>
      </w:r>
    </w:p>
    <w:p>
      <w:pPr>
        <w:jc w:val="both"/>
      </w:pPr>
      <w:r>
        <w:rPr>
          <w:rFonts w:ascii="Arial" w:hAnsi="Arial" w:eastAsia="PingFang TC"/>
          <w:color w:val="000000"/>
          <w:sz w:val="22"/>
        </w:rPr>
        <w:t>本次查閱日期：2026-09-25。以下網站僅用於結構、相關工具與方法查證，未複製他人企劃內容。</w:t>
      </w:r>
    </w:p>
    <w:p>
      <w:pPr>
        <w:pStyle w:val="ListBullet"/>
        <w:ind w:left="397" w:hanging="198"/>
      </w:pPr>
      <w:hyperlink r:id="rId16">
        <w:r>
          <w:rPr>
            <w:color w:val="8B513A"/>
            <w:u w:val="single"/>
          </w:rPr>
          <w:t>S1 國科會大專學生研究計畫申請表（清華大學公開版本）</w:t>
        </w:r>
      </w:hyperlink>
    </w:p>
    <w:p>
      <w:pPr>
        <w:pStyle w:val="ListBullet"/>
        <w:ind w:left="397" w:hanging="198"/>
      </w:pPr>
      <w:hyperlink r:id="rId17">
        <w:r>
          <w:rPr>
            <w:color w:val="8B513A"/>
            <w:u w:val="single"/>
          </w:rPr>
          <w:t>S2 CMU Project Proposal Guidelines</w:t>
        </w:r>
      </w:hyperlink>
    </w:p>
    <w:p>
      <w:pPr>
        <w:pStyle w:val="ListBullet"/>
        <w:ind w:left="397" w:hanging="198"/>
      </w:pPr>
      <w:hyperlink r:id="rId18">
        <w:r>
          <w:rPr>
            <w:color w:val="8B513A"/>
            <w:u w:val="single"/>
          </w:rPr>
          <w:t>S3 ISO/IEC/IEEE 29148:2018 公開介紹</w:t>
        </w:r>
      </w:hyperlink>
    </w:p>
    <w:p>
      <w:pPr>
        <w:pStyle w:val="ListBullet"/>
        <w:ind w:left="397" w:hanging="198"/>
      </w:pPr>
      <w:hyperlink r:id="rId19">
        <w:r>
          <w:rPr>
            <w:color w:val="8B513A"/>
            <w:u w:val="single"/>
          </w:rPr>
          <w:t>S4 Langfuse Prompt Management</w:t>
        </w:r>
      </w:hyperlink>
    </w:p>
    <w:p>
      <w:pPr>
        <w:pStyle w:val="ListBullet"/>
        <w:ind w:left="397" w:hanging="198"/>
      </w:pPr>
      <w:hyperlink r:id="rId20">
        <w:r>
          <w:rPr>
            <w:color w:val="8B513A"/>
            <w:u w:val="single"/>
          </w:rPr>
          <w:t>S5 Promptfoo Introduction</w:t>
        </w:r>
      </w:hyperlink>
    </w:p>
    <w:p>
      <w:pPr>
        <w:pStyle w:val="ListBullet"/>
        <w:ind w:left="397" w:hanging="198"/>
      </w:pPr>
      <w:hyperlink r:id="rId21">
        <w:r>
          <w:rPr>
            <w:color w:val="8B513A"/>
            <w:u w:val="single"/>
          </w:rPr>
          <w:t>S6 OpenAI tiktoken</w:t>
        </w:r>
      </w:hyperlink>
    </w:p>
    <w:p>
      <w:pPr>
        <w:pStyle w:val="ListBullet"/>
        <w:ind w:left="397" w:hanging="198"/>
      </w:pPr>
      <w:hyperlink r:id="rId22">
        <w:r>
          <w:rPr>
            <w:color w:val="8B513A"/>
            <w:u w:val="single"/>
          </w:rPr>
          <w:t>S7 Anthropic Token Counting</w:t>
        </w:r>
      </w:hyperlink>
    </w:p>
    <w:p>
      <w:pPr>
        <w:pStyle w:val="ListBullet"/>
        <w:ind w:left="397" w:hanging="198"/>
      </w:pPr>
      <w:hyperlink r:id="rId23">
        <w:r>
          <w:rPr>
            <w:color w:val="8B513A"/>
            <w:u w:val="single"/>
          </w:rPr>
          <w:t>S8 國立東華大學資訊管理學系專題製作相關規定</w:t>
        </w:r>
      </w:hyperlink>
    </w:p>
    <w:p>
      <w:pPr>
        <w:pStyle w:val="ListBullet"/>
        <w:ind w:left="397" w:hanging="198"/>
      </w:pPr>
      <w:hyperlink r:id="rId24">
        <w:r>
          <w:rPr>
            <w:color w:val="8B513A"/>
            <w:u w:val="single"/>
          </w:rPr>
          <w:t>S9 南臺科技大學軟體工程教材：軟體需求規格書格式範例</w:t>
        </w:r>
      </w:hyperlink>
    </w:p>
    <w:sectPr w:rsidR="00FC693F" w:rsidRPr="0006063C" w:rsidSect="00034616">
      <w:headerReference w:type="default" r:id="rId9"/>
      <w:footerReference w:type="default" r:id="rId10"/>
      <w:pgSz w:w="11906" w:h="16838"/>
      <w:pgMar w:top="1134"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PingFang TC"/>
        <w:color w:val="666666"/>
        <w:sz w:val="18"/>
      </w:rPr>
      <w:t xml:space="preserve">第 </w:t>
    </w:r>
    <w:r>
      <w:rPr>
        <w:rFonts w:ascii="Arial" w:hAnsi="Arial" w:eastAsia="PingFang TC"/>
        <w:color w:val="666666"/>
        <w:sz w:val="18"/>
      </w:rPr>
      <w:fldChar w:fldCharType="begin"/>
      <w:instrText xml:space="preserve"> PAGE </w:instrText>
      <w:fldChar w:fldCharType="separate"/>
      <w:t>1</w:t>
      <w:fldChar w:fldCharType="end"/>
    </w:r>
    <w:r>
      <w:rPr>
        <w:rFonts w:ascii="Arial" w:hAnsi="Arial" w:eastAsia="PingFang TC"/>
        <w:color w:val="666666"/>
        <w:sz w:val="18"/>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PingFang TC"/>
        <w:color w:val="666666"/>
        <w:sz w:val="17"/>
      </w:rPr>
      <w:t>AI 提示詞視覺化管理 App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Arial" w:hAnsi="Arial" w:eastAsia="PingFang T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eastAsia="PingFang T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rial" w:hAnsi="Arial" w:eastAsia="PingFang T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PingFang T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eastAsia="PingFang TC"/>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00"/>
    </w:pPr>
    <w:rPr>
      <w:rFonts w:asciiTheme="majorHAnsi" w:eastAsiaTheme="majorEastAsia" w:hAnsiTheme="majorHAnsi" w:cstheme="majorBidi" w:ascii="Arial" w:hAnsi="Arial" w:eastAsia="PingFang TC"/>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rd.nthu.edu.tw/userfiles/files/20221226081243883.pdf" TargetMode="External"/><Relationship Id="rId17" Type="http://schemas.openxmlformats.org/officeDocument/2006/relationships/hyperlink" Target="https://www.cs.cmu.edu/afs/cs/academic/class/15745-s05/www/proposal.html" TargetMode="External"/><Relationship Id="rId18" Type="http://schemas.openxmlformats.org/officeDocument/2006/relationships/hyperlink" Target="https://www.iso.org/obp/ui?_escaped_fragment_=iso%3Astd%3Aiso-iec-ieee%3A29148%3Aed-2%3Av1%3Aen" TargetMode="External"/><Relationship Id="rId19" Type="http://schemas.openxmlformats.org/officeDocument/2006/relationships/hyperlink" Target="https://langfuse.com/docs/prompt-management/overview" TargetMode="External"/><Relationship Id="rId20" Type="http://schemas.openxmlformats.org/officeDocument/2006/relationships/hyperlink" Target="https://www.promptfoo.dev/docs/intro/" TargetMode="External"/><Relationship Id="rId21" Type="http://schemas.openxmlformats.org/officeDocument/2006/relationships/hyperlink" Target="https://github.com/openai/tiktoken" TargetMode="External"/><Relationship Id="rId22" Type="http://schemas.openxmlformats.org/officeDocument/2006/relationships/hyperlink" Target="https://docs.anthropic.com/en/docs/build-with-claude/token-counting" TargetMode="External"/><Relationship Id="rId23" Type="http://schemas.openxmlformats.org/officeDocument/2006/relationships/hyperlink" Target="https://im.ndhu.edu.tw/var/file/50/1050/img/4912/675555425.pdf" TargetMode="External"/><Relationship Id="rId24" Type="http://schemas.openxmlformats.org/officeDocument/2006/relationships/hyperlink" Target="https://faculty.stust.edu.tw/~pwchen/se/Chapter0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提示詞視覺化管理 App</dc:title>
  <dc:subject>可編輯的專題文件</dc:subject>
  <dc:creator>AI Prompt Studio 專題小組</dc:creator>
  <cp:keywords>提示詞管理, Token, Agent 記憶, 專題</cp:keywords>
  <dc:description>generated by python-docx</dc:description>
  <cp:lastModifiedBy/>
  <cp:revision>1</cp:revision>
  <dcterms:created xsi:type="dcterms:W3CDTF">2013-12-23T23:15:00Z</dcterms:created>
  <dcterms:modified xsi:type="dcterms:W3CDTF">2013-12-23T23:15:00Z</dcterms:modified>
  <cp:category/>
</cp:coreProperties>
</file>