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Transferability</w:t>
      </w:r>
      <w:r>
        <w:t xml:space="preserve"> </w:t>
      </w:r>
      <w:r>
        <w:t xml:space="preserve">of</w:t>
      </w:r>
      <w:r>
        <w:t xml:space="preserve"> </w:t>
      </w:r>
      <w:r>
        <w:t xml:space="preserve">clinical</w:t>
      </w:r>
      <w:r>
        <w:t xml:space="preserve"> </w:t>
      </w:r>
      <w:r>
        <w:t xml:space="preserve">prediction</w:t>
      </w:r>
      <w:r>
        <w:t xml:space="preserve"> </w:t>
      </w:r>
      <w:r>
        <w:t xml:space="preserve">models</w:t>
      </w:r>
      <w:r>
        <w:t xml:space="preserve"> </w:t>
      </w:r>
      <w:r>
        <w:t xml:space="preserve">for</w:t>
      </w:r>
      <w:r>
        <w:t xml:space="preserve"> </w:t>
      </w:r>
      <w:r>
        <w:t xml:space="preserve">early</w:t>
      </w:r>
      <w:r>
        <w:t xml:space="preserve"> </w:t>
      </w:r>
      <w:r>
        <w:t xml:space="preserve">trauma</w:t>
      </w:r>
      <w:r>
        <w:t xml:space="preserve"> </w:t>
      </w:r>
      <w:r>
        <w:t xml:space="preserve">care</w:t>
      </w:r>
    </w:p>
    <w:p>
      <w:pPr>
        <w:pStyle w:val="Author"/>
      </w:pPr>
      <w:r>
        <w:t xml:space="preserve">Martin</w:t>
      </w:r>
      <w:r>
        <w:t xml:space="preserve"> </w:t>
      </w:r>
      <w:r>
        <w:t xml:space="preserve">Henriksson</w:t>
      </w:r>
    </w:p>
    <w:p>
      <w:pPr>
        <w:pStyle w:val="Author"/>
      </w:pPr>
      <w:r>
        <w:t xml:space="preserve">Dell</w:t>
      </w:r>
      <w:r>
        <w:t xml:space="preserve"> </w:t>
      </w:r>
      <w:r>
        <w:t xml:space="preserve">D</w:t>
      </w:r>
      <w:r>
        <w:t xml:space="preserve"> </w:t>
      </w:r>
      <w:r>
        <w:t xml:space="preserve">Saulnier</w:t>
      </w:r>
    </w:p>
    <w:p>
      <w:pPr>
        <w:pStyle w:val="Author"/>
      </w:pPr>
      <w:r>
        <w:t xml:space="preserve">Johanna</w:t>
      </w:r>
      <w:r>
        <w:t xml:space="preserve"> </w:t>
      </w:r>
      <w:r>
        <w:t xml:space="preserve">Berg</w:t>
      </w:r>
    </w:p>
    <w:p>
      <w:pPr>
        <w:pStyle w:val="Author"/>
      </w:pPr>
      <w:r>
        <w:t xml:space="preserve">Martin</w:t>
      </w:r>
      <w:r>
        <w:t xml:space="preserve"> </w:t>
      </w:r>
      <w:r>
        <w:t xml:space="preserve">Gerdin</w:t>
      </w:r>
      <w:r>
        <w:t xml:space="preserve"> </w:t>
      </w:r>
      <w:r>
        <w:t xml:space="preserve">Wärnberg</w:t>
      </w:r>
    </w:p>
    <w:p>
      <w:pPr>
        <w:pStyle w:val="Datum"/>
      </w:pPr>
      <w:r>
        <w:t xml:space="preserve">September</w:t>
      </w:r>
      <w:r>
        <w:t xml:space="preserve"> </w:t>
      </w:r>
      <w:r>
        <w:t xml:space="preserve">28,</w:t>
      </w:r>
      <w:r>
        <w:t xml:space="preserve"> </w:t>
      </w:r>
      <w:r>
        <w:t xml:space="preserve">2019</w:t>
      </w:r>
    </w:p>
    <w:p>
      <w:pPr>
        <w:pStyle w:val="Abstract"/>
      </w:pPr>
      <w:r>
        <w:rPr>
          <w:b/>
        </w:rPr>
        <w:t xml:space="preserve">Abstract</w:t>
      </w:r>
    </w:p>
    <w:p>
      <w:pPr>
        <w:pStyle w:val="Abstract"/>
      </w:pPr>
      <w:r>
        <w:rPr>
          <w:i/>
        </w:rPr>
        <w:t xml:space="preserve">Background:</w:t>
      </w:r>
      <w:r>
        <w:t xml:space="preserve"> </w:t>
      </w:r>
      <w:r>
        <w:t xml:space="preserve">Trauma</w:t>
      </w:r>
      <w:r>
        <w:t xml:space="preserve"> </w:t>
      </w:r>
      <w:r>
        <w:t xml:space="preserve">results</w:t>
      </w:r>
      <w:r>
        <w:t xml:space="preserve"> </w:t>
      </w:r>
      <w:r>
        <w:t xml:space="preserve">in</w:t>
      </w:r>
      <w:r>
        <w:t xml:space="preserve"> </w:t>
      </w:r>
      <w:r>
        <w:t xml:space="preserve">approximately</w:t>
      </w:r>
      <w:r>
        <w:t xml:space="preserve"> </w:t>
      </w:r>
      <w:r>
        <w:t xml:space="preserve">four</w:t>
      </w:r>
      <w:r>
        <w:t xml:space="preserve"> </w:t>
      </w:r>
      <w:r>
        <w:t xml:space="preserve">million</w:t>
      </w:r>
      <w:r>
        <w:t xml:space="preserve"> </w:t>
      </w:r>
      <w:r>
        <w:t xml:space="preserve">deaths</w:t>
      </w:r>
      <w:r>
        <w:t xml:space="preserve"> </w:t>
      </w:r>
      <w:r>
        <w:t xml:space="preserve">annually.</w:t>
      </w:r>
      <w:r>
        <w:t xml:space="preserve"> </w:t>
      </w:r>
      <w:r>
        <w:t xml:space="preserve">Clinical</w:t>
      </w:r>
      <w:r>
        <w:t xml:space="preserve"> </w:t>
      </w:r>
      <w:r>
        <w:t xml:space="preserve">prediction</w:t>
      </w:r>
      <w:r>
        <w:t xml:space="preserve"> </w:t>
      </w:r>
      <w:r>
        <w:t xml:space="preserve">models</w:t>
      </w:r>
      <w:r>
        <w:t xml:space="preserve"> </w:t>
      </w:r>
      <w:r>
        <w:t xml:space="preserve">are</w:t>
      </w:r>
      <w:r>
        <w:t xml:space="preserve"> </w:t>
      </w:r>
      <w:r>
        <w:t xml:space="preserve">often</w:t>
      </w:r>
      <w:r>
        <w:t xml:space="preserve"> </w:t>
      </w:r>
      <w:r>
        <w:t xml:space="preserve">used</w:t>
      </w:r>
      <w:r>
        <w:t xml:space="preserve"> </w:t>
      </w:r>
      <w:r>
        <w:t xml:space="preserve">for</w:t>
      </w:r>
      <w:r>
        <w:t xml:space="preserve"> </w:t>
      </w:r>
      <w:r>
        <w:t xml:space="preserve">triage</w:t>
      </w:r>
      <w:r>
        <w:t xml:space="preserve"> </w:t>
      </w:r>
      <w:r>
        <w:t xml:space="preserve">in</w:t>
      </w:r>
      <w:r>
        <w:t xml:space="preserve"> </w:t>
      </w:r>
      <w:r>
        <w:t xml:space="preserve">early</w:t>
      </w:r>
      <w:r>
        <w:t xml:space="preserve"> </w:t>
      </w:r>
      <w:r>
        <w:t xml:space="preserve">trauma</w:t>
      </w:r>
      <w:r>
        <w:t xml:space="preserve"> </w:t>
      </w:r>
      <w:r>
        <w:t xml:space="preserve">care.</w:t>
      </w:r>
      <w:r>
        <w:t xml:space="preserve"> </w:t>
      </w:r>
      <w:r>
        <w:t xml:space="preserve">Previous</w:t>
      </w:r>
      <w:r>
        <w:t xml:space="preserve"> </w:t>
      </w:r>
      <w:r>
        <w:t xml:space="preserve">research</w:t>
      </w:r>
      <w:r>
        <w:t xml:space="preserve"> </w:t>
      </w:r>
      <w:r>
        <w:t xml:space="preserve">has</w:t>
      </w:r>
      <w:r>
        <w:t xml:space="preserve"> </w:t>
      </w:r>
      <w:r>
        <w:t xml:space="preserve">indicated</w:t>
      </w:r>
      <w:r>
        <w:t xml:space="preserve"> </w:t>
      </w:r>
      <w:r>
        <w:t xml:space="preserve">that</w:t>
      </w:r>
      <w:r>
        <w:t xml:space="preserve"> </w:t>
      </w:r>
      <w:r>
        <w:t xml:space="preserve">transferring</w:t>
      </w:r>
      <w:r>
        <w:t xml:space="preserve"> </w:t>
      </w:r>
      <w:r>
        <w:t xml:space="preserve">these</w:t>
      </w:r>
      <w:r>
        <w:t xml:space="preserve"> </w:t>
      </w:r>
      <w:r>
        <w:t xml:space="preserve">models</w:t>
      </w:r>
      <w:r>
        <w:t xml:space="preserve"> </w:t>
      </w:r>
      <w:r>
        <w:t xml:space="preserve">between</w:t>
      </w:r>
      <w:r>
        <w:t xml:space="preserve"> </w:t>
      </w:r>
      <w:r>
        <w:t xml:space="preserve">different</w:t>
      </w:r>
      <w:r>
        <w:t xml:space="preserve"> </w:t>
      </w:r>
      <w:r>
        <w:t xml:space="preserve">settings</w:t>
      </w:r>
      <w:r>
        <w:t xml:space="preserve"> </w:t>
      </w:r>
      <w:r>
        <w:t xml:space="preserve">might</w:t>
      </w:r>
      <w:r>
        <w:t xml:space="preserve"> </w:t>
      </w:r>
      <w:r>
        <w:t xml:space="preserve">adversely</w:t>
      </w:r>
      <w:r>
        <w:t xml:space="preserve"> </w:t>
      </w:r>
      <w:r>
        <w:t xml:space="preserve">affect</w:t>
      </w:r>
      <w:r>
        <w:t xml:space="preserve"> </w:t>
      </w:r>
      <w:r>
        <w:t xml:space="preserve">model</w:t>
      </w:r>
      <w:r>
        <w:t xml:space="preserve"> </w:t>
      </w:r>
      <w:r>
        <w:t xml:space="preserve">performance.</w:t>
      </w:r>
    </w:p>
    <w:p>
      <w:pPr>
        <w:pStyle w:val="Abstract"/>
      </w:pPr>
      <w:r>
        <w:rPr>
          <w:i/>
        </w:rPr>
        <w:t xml:space="preserve">Methods:</w:t>
      </w:r>
      <w:r>
        <w:t xml:space="preserve"> </w:t>
      </w:r>
      <w:r>
        <w:t xml:space="preserve">Patients</w:t>
      </w:r>
      <w:r>
        <w:t xml:space="preserve"> </w:t>
      </w:r>
      <w:r>
        <w:t xml:space="preserve">aged</w:t>
      </w:r>
      <w:r>
        <w:t xml:space="preserve"> </w:t>
      </w:r>
      <w:r>
        <w:t xml:space="preserve">15</w:t>
      </w:r>
      <w:r>
        <w:t xml:space="preserve"> </w:t>
      </w:r>
      <w:r>
        <w:t xml:space="preserve">years</w:t>
      </w:r>
      <w:r>
        <w:t xml:space="preserve"> </w:t>
      </w:r>
      <w:r>
        <w:t xml:space="preserve">or</w:t>
      </w:r>
      <w:r>
        <w:t xml:space="preserve"> </w:t>
      </w:r>
      <w:r>
        <w:t xml:space="preserve">older</w:t>
      </w:r>
      <w:r>
        <w:t xml:space="preserve"> </w:t>
      </w:r>
      <w:r>
        <w:t xml:space="preserve">who</w:t>
      </w:r>
      <w:r>
        <w:t xml:space="preserve"> </w:t>
      </w:r>
      <w:r>
        <w:t xml:space="preserve">were</w:t>
      </w:r>
      <w:r>
        <w:t xml:space="preserve"> </w:t>
      </w:r>
      <w:r>
        <w:t xml:space="preserve">registered</w:t>
      </w:r>
      <w:r>
        <w:t xml:space="preserve"> </w:t>
      </w:r>
      <w:r>
        <w:t xml:space="preserve">between</w:t>
      </w:r>
      <w:r>
        <w:t xml:space="preserve"> </w:t>
      </w:r>
      <w:r>
        <w:t xml:space="preserve">2011</w:t>
      </w:r>
      <w:r>
        <w:t xml:space="preserve"> </w:t>
      </w:r>
      <w:r>
        <w:t xml:space="preserve">and</w:t>
      </w:r>
      <w:r>
        <w:t xml:space="preserve"> </w:t>
      </w:r>
      <w:r>
        <w:t xml:space="preserve">2016</w:t>
      </w:r>
      <w:r>
        <w:t xml:space="preserve"> </w:t>
      </w:r>
      <w:r>
        <w:t xml:space="preserve">in</w:t>
      </w:r>
      <w:r>
        <w:t xml:space="preserve"> </w:t>
      </w:r>
      <w:r>
        <w:t xml:space="preserve">the</w:t>
      </w:r>
      <w:r>
        <w:t xml:space="preserve"> </w:t>
      </w:r>
      <w:r>
        <w:t xml:space="preserve">Swedish</w:t>
      </w:r>
      <w:r>
        <w:t xml:space="preserve"> </w:t>
      </w:r>
      <w:r>
        <w:t xml:space="preserve">national</w:t>
      </w:r>
      <w:r>
        <w:t xml:space="preserve"> </w:t>
      </w:r>
      <w:r>
        <w:t xml:space="preserve">trauma</w:t>
      </w:r>
      <w:r>
        <w:t xml:space="preserve"> </w:t>
      </w:r>
      <w:r>
        <w:t xml:space="preserve">registry,</w:t>
      </w:r>
      <w:r>
        <w:t xml:space="preserve"> </w:t>
      </w:r>
      <w:r>
        <w:t xml:space="preserve">SweTrau,</w:t>
      </w:r>
      <w:r>
        <w:t xml:space="preserve"> </w:t>
      </w:r>
      <w:r>
        <w:t xml:space="preserve">were</w:t>
      </w:r>
      <w:r>
        <w:t xml:space="preserve"> </w:t>
      </w:r>
      <w:r>
        <w:t xml:space="preserve">included.</w:t>
      </w:r>
      <w:r>
        <w:t xml:space="preserve"> </w:t>
      </w:r>
      <w:r>
        <w:t xml:space="preserve">Three</w:t>
      </w:r>
      <w:r>
        <w:t xml:space="preserve"> </w:t>
      </w:r>
      <w:r>
        <w:t xml:space="preserve">sets</w:t>
      </w:r>
      <w:r>
        <w:t xml:space="preserve"> </w:t>
      </w:r>
      <w:r>
        <w:t xml:space="preserve">of</w:t>
      </w:r>
      <w:r>
        <w:t xml:space="preserve"> </w:t>
      </w:r>
      <w:r>
        <w:t xml:space="preserve">data</w:t>
      </w:r>
      <w:r>
        <w:t xml:space="preserve"> </w:t>
      </w:r>
      <w:r>
        <w:t xml:space="preserve">were</w:t>
      </w:r>
      <w:r>
        <w:t xml:space="preserve"> </w:t>
      </w:r>
      <w:r>
        <w:t xml:space="preserve">created:</w:t>
      </w:r>
      <w:r>
        <w:t xml:space="preserve"> </w:t>
      </w:r>
      <w:r>
        <w:t xml:space="preserve">high-</w:t>
      </w:r>
      <w:r>
        <w:t xml:space="preserve"> </w:t>
      </w:r>
      <w:r>
        <w:t xml:space="preserve">and</w:t>
      </w:r>
      <w:r>
        <w:t xml:space="preserve"> </w:t>
      </w:r>
      <w:r>
        <w:t xml:space="preserve">low-volume</w:t>
      </w:r>
      <w:r>
        <w:t xml:space="preserve"> </w:t>
      </w:r>
      <w:r>
        <w:t xml:space="preserve">centres,</w:t>
      </w:r>
      <w:r>
        <w:t xml:space="preserve"> </w:t>
      </w:r>
      <w:r>
        <w:t xml:space="preserve">metropolitan</w:t>
      </w:r>
      <w:r>
        <w:t xml:space="preserve"> </w:t>
      </w:r>
      <w:r>
        <w:t xml:space="preserve">and</w:t>
      </w:r>
      <w:r>
        <w:t xml:space="preserve"> </w:t>
      </w:r>
      <w:r>
        <w:t xml:space="preserve">non-metropolitan</w:t>
      </w:r>
      <w:r>
        <w:t xml:space="preserve"> </w:t>
      </w:r>
      <w:r>
        <w:t xml:space="preserve">centres,</w:t>
      </w:r>
      <w:r>
        <w:t xml:space="preserve"> </w:t>
      </w:r>
      <w:r>
        <w:t xml:space="preserve">and</w:t>
      </w:r>
      <w:r>
        <w:t xml:space="preserve"> </w:t>
      </w:r>
      <w:r>
        <w:t xml:space="preserve">multiple</w:t>
      </w:r>
      <w:r>
        <w:t xml:space="preserve"> </w:t>
      </w:r>
      <w:r>
        <w:t xml:space="preserve">and</w:t>
      </w:r>
      <w:r>
        <w:t xml:space="preserve"> </w:t>
      </w:r>
      <w:r>
        <w:t xml:space="preserve">single</w:t>
      </w:r>
      <w:r>
        <w:t xml:space="preserve"> </w:t>
      </w:r>
      <w:r>
        <w:t xml:space="preserve">centres.</w:t>
      </w:r>
      <w:r>
        <w:t xml:space="preserve"> </w:t>
      </w:r>
      <w:r>
        <w:t xml:space="preserve">Clinical</w:t>
      </w:r>
      <w:r>
        <w:t xml:space="preserve"> </w:t>
      </w:r>
      <w:r>
        <w:t xml:space="preserve">prediction</w:t>
      </w:r>
      <w:r>
        <w:t xml:space="preserve"> </w:t>
      </w:r>
      <w:r>
        <w:t xml:space="preserve">models</w:t>
      </w:r>
      <w:r>
        <w:t xml:space="preserve"> </w:t>
      </w:r>
      <w:r>
        <w:t xml:space="preserve">were</w:t>
      </w:r>
      <w:r>
        <w:t xml:space="preserve"> </w:t>
      </w:r>
      <w:r>
        <w:t xml:space="preserve">developed</w:t>
      </w:r>
      <w:r>
        <w:t xml:space="preserve"> </w:t>
      </w:r>
      <w:r>
        <w:t xml:space="preserve">using</w:t>
      </w:r>
      <w:r>
        <w:t xml:space="preserve"> </w:t>
      </w:r>
      <w:r>
        <w:t xml:space="preserve">logistic</w:t>
      </w:r>
      <w:r>
        <w:t xml:space="preserve"> </w:t>
      </w:r>
      <w:r>
        <w:t xml:space="preserve">regression</w:t>
      </w:r>
      <w:r>
        <w:t xml:space="preserve"> </w:t>
      </w:r>
      <w:r>
        <w:t xml:space="preserve">in</w:t>
      </w:r>
      <w:r>
        <w:t xml:space="preserve"> </w:t>
      </w:r>
      <w:r>
        <w:t xml:space="preserve">each</w:t>
      </w:r>
      <w:r>
        <w:t xml:space="preserve"> </w:t>
      </w:r>
      <w:r>
        <w:t xml:space="preserve">data</w:t>
      </w:r>
      <w:r>
        <w:t xml:space="preserve"> </w:t>
      </w:r>
      <w:r>
        <w:t xml:space="preserve">set</w:t>
      </w:r>
      <w:r>
        <w:t xml:space="preserve"> </w:t>
      </w:r>
      <w:r>
        <w:t xml:space="preserve">and</w:t>
      </w:r>
      <w:r>
        <w:t xml:space="preserve"> </w:t>
      </w:r>
      <w:r>
        <w:t xml:space="preserve">transferred</w:t>
      </w:r>
      <w:r>
        <w:t xml:space="preserve"> </w:t>
      </w:r>
      <w:r>
        <w:t xml:space="preserve">within</w:t>
      </w:r>
      <w:r>
        <w:t xml:space="preserve"> </w:t>
      </w:r>
      <w:r>
        <w:t xml:space="preserve">sets.</w:t>
      </w:r>
      <w:r>
        <w:t xml:space="preserve"> </w:t>
      </w:r>
      <w:r>
        <w:t xml:space="preserve">Model</w:t>
      </w:r>
      <w:r>
        <w:t xml:space="preserve"> </w:t>
      </w:r>
      <w:r>
        <w:t xml:space="preserve">performance</w:t>
      </w:r>
      <w:r>
        <w:t xml:space="preserve"> </w:t>
      </w:r>
      <w:r>
        <w:t xml:space="preserve">was</w:t>
      </w:r>
      <w:r>
        <w:t xml:space="preserve"> </w:t>
      </w:r>
      <w:r>
        <w:t xml:space="preserve">evaluated</w:t>
      </w:r>
      <w:r>
        <w:t xml:space="preserve"> </w:t>
      </w:r>
      <w:r>
        <w:t xml:space="preserve">in</w:t>
      </w:r>
      <w:r>
        <w:t xml:space="preserve"> </w:t>
      </w:r>
      <w:r>
        <w:t xml:space="preserve">all</w:t>
      </w:r>
      <w:r>
        <w:t xml:space="preserve"> </w:t>
      </w:r>
      <w:r>
        <w:t xml:space="preserve">data</w:t>
      </w:r>
      <w:r>
        <w:t xml:space="preserve"> </w:t>
      </w:r>
      <w:r>
        <w:t xml:space="preserve">sets</w:t>
      </w:r>
      <w:r>
        <w:t xml:space="preserve"> </w:t>
      </w:r>
      <w:r>
        <w:t xml:space="preserve">using</w:t>
      </w:r>
      <w:r>
        <w:t xml:space="preserve"> </w:t>
      </w:r>
      <w:r>
        <w:t xml:space="preserve">the</w:t>
      </w:r>
      <w:r>
        <w:t xml:space="preserve"> </w:t>
      </w:r>
      <w:r>
        <w:t xml:space="preserve">mistriage</w:t>
      </w:r>
      <w:r>
        <w:t xml:space="preserve"> </w:t>
      </w:r>
      <w:r>
        <w:t xml:space="preserve">rate,</w:t>
      </w:r>
      <w:r>
        <w:t xml:space="preserve"> </w:t>
      </w:r>
      <w:r>
        <w:t xml:space="preserve">undertriage</w:t>
      </w:r>
      <w:r>
        <w:t xml:space="preserve"> </w:t>
      </w:r>
      <w:r>
        <w:t xml:space="preserve">rate</w:t>
      </w:r>
      <w:r>
        <w:t xml:space="preserve"> </w:t>
      </w:r>
      <w:r>
        <w:t xml:space="preserve">and</w:t>
      </w:r>
      <w:r>
        <w:t xml:space="preserve"> </w:t>
      </w:r>
      <w:r>
        <w:t xml:space="preserve">overtriage</w:t>
      </w:r>
      <w:r>
        <w:t xml:space="preserve"> </w:t>
      </w:r>
      <w:r>
        <w:t xml:space="preserve">rate.</w:t>
      </w:r>
      <w:r>
        <w:t xml:space="preserve"> </w:t>
      </w:r>
      <w:r>
        <w:t xml:space="preserve">Multiple</w:t>
      </w:r>
      <w:r>
        <w:t xml:space="preserve"> </w:t>
      </w:r>
      <w:r>
        <w:t xml:space="preserve">imputation</w:t>
      </w:r>
      <w:r>
        <w:t xml:space="preserve"> </w:t>
      </w:r>
      <w:r>
        <w:t xml:space="preserve">using</w:t>
      </w:r>
      <w:r>
        <w:t xml:space="preserve"> </w:t>
      </w:r>
      <w:r>
        <w:t xml:space="preserve">chained</w:t>
      </w:r>
      <w:r>
        <w:t xml:space="preserve"> </w:t>
      </w:r>
      <w:r>
        <w:t xml:space="preserve">equations</w:t>
      </w:r>
      <w:r>
        <w:t xml:space="preserve"> </w:t>
      </w:r>
      <w:r>
        <w:t xml:space="preserve">was</w:t>
      </w:r>
      <w:r>
        <w:t xml:space="preserve"> </w:t>
      </w:r>
      <w:r>
        <w:t xml:space="preserve">used</w:t>
      </w:r>
      <w:r>
        <w:t xml:space="preserve"> </w:t>
      </w:r>
      <w:r>
        <w:t xml:space="preserve">to</w:t>
      </w:r>
      <w:r>
        <w:t xml:space="preserve"> </w:t>
      </w:r>
      <w:r>
        <w:t xml:space="preserve">handle</w:t>
      </w:r>
      <w:r>
        <w:t xml:space="preserve"> </w:t>
      </w:r>
      <w:r>
        <w:t xml:space="preserve">missing</w:t>
      </w:r>
      <w:r>
        <w:t xml:space="preserve"> </w:t>
      </w:r>
      <w:r>
        <w:t xml:space="preserve">data.</w:t>
      </w:r>
      <w:r>
        <w:t xml:space="preserve"> </w:t>
      </w:r>
      <w:r>
        <w:t xml:space="preserve">Model</w:t>
      </w:r>
      <w:r>
        <w:t xml:space="preserve"> </w:t>
      </w:r>
      <w:r>
        <w:t xml:space="preserve">performance</w:t>
      </w:r>
      <w:r>
        <w:t xml:space="preserve"> </w:t>
      </w:r>
      <w:r>
        <w:t xml:space="preserve">was</w:t>
      </w:r>
      <w:r>
        <w:t xml:space="preserve"> </w:t>
      </w:r>
      <w:r>
        <w:t xml:space="preserve">reported</w:t>
      </w:r>
      <w:r>
        <w:t xml:space="preserve"> </w:t>
      </w:r>
      <w:r>
        <w:t xml:space="preserve">as</w:t>
      </w:r>
      <w:r>
        <w:t xml:space="preserve"> </w:t>
      </w:r>
      <w:r>
        <w:t xml:space="preserve">medians</w:t>
      </w:r>
      <w:r>
        <w:t xml:space="preserve"> </w:t>
      </w:r>
      <w:r>
        <w:t xml:space="preserve">with</w:t>
      </w:r>
      <w:r>
        <w:t xml:space="preserve"> </w:t>
      </w:r>
      <w:r>
        <w:t xml:space="preserve">the</w:t>
      </w:r>
      <w:r>
        <w:t xml:space="preserve"> </w:t>
      </w:r>
      <w:r>
        <w:t xml:space="preserve">95%</w:t>
      </w:r>
      <w:r>
        <w:t xml:space="preserve"> </w:t>
      </w:r>
      <w:r>
        <w:t xml:space="preserve">uncertainty</w:t>
      </w:r>
      <w:r>
        <w:t xml:space="preserve"> </w:t>
      </w:r>
      <w:r>
        <w:t xml:space="preserve">interval</w:t>
      </w:r>
      <w:r>
        <w:t xml:space="preserve"> </w:t>
      </w:r>
      <w:r>
        <w:t xml:space="preserve">across</w:t>
      </w:r>
      <w:r>
        <w:t xml:space="preserve"> </w:t>
      </w:r>
      <w:r>
        <w:t xml:space="preserve">imputed</w:t>
      </w:r>
      <w:r>
        <w:t xml:space="preserve"> </w:t>
      </w:r>
      <w:r>
        <w:t xml:space="preserve">data</w:t>
      </w:r>
      <w:r>
        <w:t xml:space="preserve"> </w:t>
      </w:r>
      <w:r>
        <w:t xml:space="preserve">sets.</w:t>
      </w:r>
    </w:p>
    <w:p>
      <w:pPr>
        <w:pStyle w:val="Abstract"/>
      </w:pPr>
      <w:r>
        <w:rPr>
          <w:i/>
        </w:rPr>
        <w:t xml:space="preserve">Results:</w:t>
      </w:r>
      <w:r>
        <w:t xml:space="preserve"> </w:t>
      </w:r>
      <w:r>
        <w:t xml:space="preserve">A</w:t>
      </w:r>
      <w:r>
        <w:t xml:space="preserve"> </w:t>
      </w:r>
      <w:r>
        <w:t xml:space="preserve">total</w:t>
      </w:r>
      <w:r>
        <w:t xml:space="preserve"> </w:t>
      </w:r>
      <w:r>
        <w:t xml:space="preserve">of</w:t>
      </w:r>
      <w:r>
        <w:t xml:space="preserve"> </w:t>
      </w:r>
      <w:r>
        <w:t xml:space="preserve">26965</w:t>
      </w:r>
      <w:r>
        <w:t xml:space="preserve"> </w:t>
      </w:r>
      <w:r>
        <w:t xml:space="preserve">patients</w:t>
      </w:r>
      <w:r>
        <w:t xml:space="preserve"> </w:t>
      </w:r>
      <w:r>
        <w:t xml:space="preserve">were</w:t>
      </w:r>
      <w:r>
        <w:t xml:space="preserve"> </w:t>
      </w:r>
      <w:r>
        <w:t xml:space="preserve">included.</w:t>
      </w:r>
      <w:r>
        <w:t xml:space="preserve"> </w:t>
      </w:r>
      <w:r>
        <w:t xml:space="preserve">Model</w:t>
      </w:r>
      <w:r>
        <w:t xml:space="preserve"> </w:t>
      </w:r>
      <w:r>
        <w:t xml:space="preserve">validation</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0.18</w:t>
      </w:r>
      <w:r>
        <w:t xml:space="preserve"> </w:t>
      </w:r>
      <w:r>
        <w:t xml:space="preserve">(0.18</w:t>
      </w:r>
      <w:r>
        <w:t xml:space="preserve"> </w:t>
      </w:r>
      <w:r>
        <w:t xml:space="preserve">-</w:t>
      </w:r>
      <w:r>
        <w:t xml:space="preserve"> </w:t>
      </w:r>
      <w:r>
        <w:t xml:space="preserve">0.44)</w:t>
      </w:r>
      <w:r>
        <w:t xml:space="preserve"> </w:t>
      </w:r>
      <w:r>
        <w:t xml:space="preserve">to</w:t>
      </w:r>
      <w:r>
        <w:t xml:space="preserve"> </w:t>
      </w:r>
      <w:r>
        <w:t xml:space="preserve">0.64</w:t>
      </w:r>
      <w:r>
        <w:t xml:space="preserve"> </w:t>
      </w:r>
      <w:r>
        <w:t xml:space="preserve">(0.47</w:t>
      </w:r>
      <w:r>
        <w:t xml:space="preserve"> </w:t>
      </w:r>
      <w:r>
        <w:t xml:space="preserve">-</w:t>
      </w:r>
      <w:r>
        <w:t xml:space="preserve"> </w:t>
      </w:r>
      <w:r>
        <w:t xml:space="preserve">0.73),</w:t>
      </w:r>
      <w:r>
        <w:t xml:space="preserve"> </w:t>
      </w:r>
      <w:r>
        <w:t xml:space="preserve">and</w:t>
      </w:r>
      <w:r>
        <w:t xml:space="preserve"> </w:t>
      </w:r>
      <w:r>
        <w:t xml:space="preserve">the</w:t>
      </w:r>
      <w:r>
        <w:t xml:space="preserve"> </w:t>
      </w:r>
      <w:r>
        <w:t xml:space="preserve">transferred</w:t>
      </w:r>
      <w:r>
        <w:t xml:space="preserve"> </w:t>
      </w:r>
      <w:r>
        <w:t xml:space="preserve">model</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0.22</w:t>
      </w:r>
      <w:r>
        <w:t xml:space="preserve"> </w:t>
      </w:r>
      <w:r>
        <w:t xml:space="preserve">(0.24</w:t>
      </w:r>
      <w:r>
        <w:t xml:space="preserve"> </w:t>
      </w:r>
      <w:r>
        <w:t xml:space="preserve">-</w:t>
      </w:r>
      <w:r>
        <w:t xml:space="preserve"> </w:t>
      </w:r>
      <w:r>
        <w:t xml:space="preserve">0.42)</w:t>
      </w:r>
      <w:r>
        <w:t xml:space="preserve"> </w:t>
      </w:r>
      <w:r>
        <w:t xml:space="preserve">to</w:t>
      </w:r>
      <w:r>
        <w:t xml:space="preserve"> </w:t>
      </w:r>
      <w:r>
        <w:t xml:space="preserve">0.67</w:t>
      </w:r>
      <w:r>
        <w:t xml:space="preserve"> </w:t>
      </w:r>
      <w:r>
        <w:t xml:space="preserve">(0.46</w:t>
      </w:r>
      <w:r>
        <w:t xml:space="preserve"> </w:t>
      </w:r>
      <w:r>
        <w:t xml:space="preserve">-</w:t>
      </w:r>
      <w:r>
        <w:t xml:space="preserve"> </w:t>
      </w:r>
      <w:r>
        <w:t xml:space="preserve">0.79),</w:t>
      </w:r>
      <w:r>
        <w:t xml:space="preserve"> </w:t>
      </w:r>
      <w:r>
        <w:t xml:space="preserve">across</w:t>
      </w:r>
      <w:r>
        <w:t xml:space="preserve"> </w:t>
      </w:r>
      <w:r>
        <w:t xml:space="preserve">all</w:t>
      </w:r>
      <w:r>
        <w:t xml:space="preserve"> </w:t>
      </w:r>
      <w:r>
        <w:t xml:space="preserve">samples.</w:t>
      </w:r>
      <w:r>
        <w:t xml:space="preserve"> </w:t>
      </w:r>
      <w:r>
        <w:t xml:space="preserve">The</w:t>
      </w:r>
      <w:r>
        <w:t xml:space="preserve"> </w:t>
      </w:r>
      <w:r>
        <w:t xml:space="preserve">worst</w:t>
      </w:r>
      <w:r>
        <w:t xml:space="preserve"> </w:t>
      </w:r>
      <w:r>
        <w:t xml:space="preserve">performance</w:t>
      </w:r>
      <w:r>
        <w:t xml:space="preserve"> </w:t>
      </w:r>
      <w:r>
        <w:t xml:space="preserve">after</w:t>
      </w:r>
      <w:r>
        <w:t xml:space="preserve"> </w:t>
      </w:r>
      <w:r>
        <w:t xml:space="preserve">transfer</w:t>
      </w:r>
      <w:r>
        <w:t xml:space="preserve"> </w:t>
      </w:r>
      <w:r>
        <w:t xml:space="preserve">was</w:t>
      </w:r>
      <w:r>
        <w:t xml:space="preserve"> </w:t>
      </w:r>
      <w:r>
        <w:t xml:space="preserve">the</w:t>
      </w:r>
      <w:r>
        <w:t xml:space="preserve"> </w:t>
      </w:r>
      <w:r>
        <w:t xml:space="preserve">low-volume</w:t>
      </w:r>
      <w:r>
        <w:t xml:space="preserve"> </w:t>
      </w:r>
      <w:r>
        <w:t xml:space="preserve">model</w:t>
      </w:r>
      <w:r>
        <w:t xml:space="preserve"> </w:t>
      </w:r>
      <w:r>
        <w:t xml:space="preserve">transferred</w:t>
      </w:r>
      <w:r>
        <w:t xml:space="preserve"> </w:t>
      </w:r>
      <w:r>
        <w:t xml:space="preserve">to</w:t>
      </w:r>
      <w:r>
        <w:t xml:space="preserve"> </w:t>
      </w:r>
      <w:r>
        <w:t xml:space="preserve">the</w:t>
      </w:r>
      <w:r>
        <w:t xml:space="preserve"> </w:t>
      </w:r>
      <w:r>
        <w:t xml:space="preserve">high-volume</w:t>
      </w:r>
      <w:r>
        <w:t xml:space="preserve"> </w:t>
      </w:r>
      <w:r>
        <w:t xml:space="preserve">sample,</w:t>
      </w:r>
      <w:r>
        <w:t xml:space="preserve"> </w:t>
      </w:r>
      <w:r>
        <w:t xml:space="preserve">resulting</w:t>
      </w:r>
      <w:r>
        <w:t xml:space="preserve"> </w:t>
      </w:r>
      <w:r>
        <w:t xml:space="preserve">in</w:t>
      </w:r>
      <w:r>
        <w:t xml:space="preserve"> </w:t>
      </w:r>
      <w:r>
        <w:t xml:space="preserve">a</w:t>
      </w:r>
      <w:r>
        <w:t xml:space="preserve"> </w:t>
      </w:r>
      <w:r>
        <w:t xml:space="preserve">significant</w:t>
      </w:r>
      <w:r>
        <w:t xml:space="preserve"> </w:t>
      </w:r>
      <w:r>
        <w:t xml:space="preserve">mistriage</w:t>
      </w:r>
      <w:r>
        <w:t xml:space="preserve"> </w:t>
      </w:r>
      <w:r>
        <w:t xml:space="preserve">rate</w:t>
      </w:r>
      <w:r>
        <w:t xml:space="preserve"> </w:t>
      </w:r>
      <w:r>
        <w:t xml:space="preserve">increase</w:t>
      </w:r>
      <w:r>
        <w:t xml:space="preserve"> </w:t>
      </w:r>
      <w:r>
        <w:t xml:space="preserve">of</w:t>
      </w:r>
      <w:r>
        <w:t xml:space="preserve"> </w:t>
      </w:r>
      <w:r>
        <w:t xml:space="preserve">0.44</w:t>
      </w:r>
      <w:r>
        <w:t xml:space="preserve"> </w:t>
      </w:r>
      <w:r>
        <w:t xml:space="preserve">(0.17</w:t>
      </w:r>
      <w:r>
        <w:t xml:space="preserve"> </w:t>
      </w:r>
      <w:r>
        <w:t xml:space="preserve">-</w:t>
      </w:r>
      <w:r>
        <w:t xml:space="preserve"> </w:t>
      </w:r>
      <w:r>
        <w:t xml:space="preserve">0.60),</w:t>
      </w:r>
      <w:r>
        <w:t xml:space="preserve"> </w:t>
      </w:r>
      <w:r>
        <w:t xml:space="preserve">primarily</w:t>
      </w:r>
      <w:r>
        <w:t xml:space="preserve"> </w:t>
      </w:r>
      <w:r>
        <w:t xml:space="preserve">due</w:t>
      </w:r>
      <w:r>
        <w:t xml:space="preserve"> </w:t>
      </w:r>
      <w:r>
        <w:t xml:space="preserve">to</w:t>
      </w:r>
      <w:r>
        <w:t xml:space="preserve"> </w:t>
      </w:r>
      <w:r>
        <w:t xml:space="preserve">increased</w:t>
      </w:r>
      <w:r>
        <w:t xml:space="preserve"> </w:t>
      </w:r>
      <w:r>
        <w:t xml:space="preserve">overtriage.</w:t>
      </w:r>
    </w:p>
    <w:p>
      <w:pPr>
        <w:pStyle w:val="Abstract"/>
      </w:pPr>
      <w:r>
        <w:rPr>
          <w:i/>
        </w:rPr>
        <w:t xml:space="preserve">Conclusions:</w:t>
      </w:r>
      <w:r>
        <w:t xml:space="preserve"> </w:t>
      </w:r>
      <w:r>
        <w:t xml:space="preserve">In</w:t>
      </w:r>
      <w:r>
        <w:t xml:space="preserve"> </w:t>
      </w:r>
      <w:r>
        <w:t xml:space="preserve">all</w:t>
      </w:r>
      <w:r>
        <w:t xml:space="preserve"> </w:t>
      </w:r>
      <w:r>
        <w:t xml:space="preserve">samples,</w:t>
      </w:r>
      <w:r>
        <w:t xml:space="preserve"> </w:t>
      </w:r>
      <w:r>
        <w:t xml:space="preserve">model</w:t>
      </w:r>
      <w:r>
        <w:t xml:space="preserve"> </w:t>
      </w:r>
      <w:r>
        <w:t xml:space="preserve">transfer</w:t>
      </w:r>
      <w:r>
        <w:t xml:space="preserve"> </w:t>
      </w:r>
      <w:r>
        <w:t xml:space="preserve">was</w:t>
      </w:r>
      <w:r>
        <w:t xml:space="preserve"> </w:t>
      </w:r>
      <w:r>
        <w:t xml:space="preserve">associated</w:t>
      </w:r>
      <w:r>
        <w:t xml:space="preserve"> </w:t>
      </w:r>
      <w:r>
        <w:t xml:space="preserve">with</w:t>
      </w:r>
      <w:r>
        <w:t xml:space="preserve"> </w:t>
      </w:r>
      <w:r>
        <w:t xml:space="preserve">some</w:t>
      </w:r>
      <w:r>
        <w:t xml:space="preserve"> </w:t>
      </w:r>
      <w:r>
        <w:t xml:space="preserve">degree</w:t>
      </w:r>
      <w:r>
        <w:t xml:space="preserve"> </w:t>
      </w:r>
      <w:r>
        <w:t xml:space="preserve">of</w:t>
      </w:r>
      <w:r>
        <w:t xml:space="preserve"> </w:t>
      </w:r>
      <w:r>
        <w:t xml:space="preserve">uncertainty.</w:t>
      </w:r>
      <w:r>
        <w:t xml:space="preserve"> </w:t>
      </w:r>
      <w:r>
        <w:t xml:space="preserve">Models</w:t>
      </w:r>
      <w:r>
        <w:t xml:space="preserve"> </w:t>
      </w:r>
      <w:r>
        <w:t xml:space="preserve">developed</w:t>
      </w:r>
      <w:r>
        <w:t xml:space="preserve"> </w:t>
      </w:r>
      <w:r>
        <w:t xml:space="preserve">in</w:t>
      </w:r>
      <w:r>
        <w:t xml:space="preserve"> </w:t>
      </w:r>
      <w:r>
        <w:t xml:space="preserve">samples</w:t>
      </w:r>
      <w:r>
        <w:t xml:space="preserve"> </w:t>
      </w:r>
      <w:r>
        <w:t xml:space="preserve">with</w:t>
      </w:r>
      <w:r>
        <w:t xml:space="preserve"> </w:t>
      </w:r>
      <w:r>
        <w:t xml:space="preserve">high</w:t>
      </w:r>
      <w:r>
        <w:t xml:space="preserve"> </w:t>
      </w:r>
      <w:r>
        <w:t xml:space="preserve">numbers</w:t>
      </w:r>
      <w:r>
        <w:t xml:space="preserve"> </w:t>
      </w:r>
      <w:r>
        <w:t xml:space="preserve">of</w:t>
      </w:r>
      <w:r>
        <w:t xml:space="preserve"> </w:t>
      </w:r>
      <w:r>
        <w:t xml:space="preserve">patients</w:t>
      </w:r>
      <w:r>
        <w:t xml:space="preserve"> </w:t>
      </w:r>
      <w:r>
        <w:t xml:space="preserve">performed</w:t>
      </w:r>
      <w:r>
        <w:t xml:space="preserve"> </w:t>
      </w:r>
      <w:r>
        <w:t xml:space="preserve">best</w:t>
      </w:r>
      <w:r>
        <w:t xml:space="preserve"> </w:t>
      </w:r>
      <w:r>
        <w:t xml:space="preserve">after</w:t>
      </w:r>
      <w:r>
        <w:t xml:space="preserve"> </w:t>
      </w:r>
      <w:r>
        <w:t xml:space="preserve">transfer,</w:t>
      </w:r>
      <w:r>
        <w:t xml:space="preserve"> </w:t>
      </w:r>
      <w:r>
        <w:t xml:space="preserve">and</w:t>
      </w:r>
      <w:r>
        <w:t xml:space="preserve"> </w:t>
      </w:r>
      <w:r>
        <w:t xml:space="preserve">the</w:t>
      </w:r>
      <w:r>
        <w:t xml:space="preserve"> </w:t>
      </w:r>
      <w:r>
        <w:t xml:space="preserve">model</w:t>
      </w:r>
      <w:r>
        <w:t xml:space="preserve"> </w:t>
      </w:r>
      <w:r>
        <w:t xml:space="preserve">developed</w:t>
      </w:r>
      <w:r>
        <w:t xml:space="preserve"> </w:t>
      </w:r>
      <w:r>
        <w:t xml:space="preserve">in</w:t>
      </w:r>
      <w:r>
        <w:t xml:space="preserve"> </w:t>
      </w:r>
      <w:r>
        <w:t xml:space="preserve">the</w:t>
      </w:r>
      <w:r>
        <w:t xml:space="preserve"> </w:t>
      </w:r>
      <w:r>
        <w:t xml:space="preserve">low-volume</w:t>
      </w:r>
      <w:r>
        <w:t xml:space="preserve"> </w:t>
      </w:r>
      <w:r>
        <w:t xml:space="preserve">sample</w:t>
      </w:r>
      <w:r>
        <w:t xml:space="preserve"> </w:t>
      </w:r>
      <w:r>
        <w:t xml:space="preserve">performed</w:t>
      </w:r>
      <w:r>
        <w:t xml:space="preserve"> </w:t>
      </w:r>
      <w:r>
        <w:t xml:space="preserve">worst</w:t>
      </w:r>
      <w:r>
        <w:t xml:space="preserve"> </w:t>
      </w:r>
      <w:r>
        <w:t xml:space="preserve">after</w:t>
      </w:r>
      <w:r>
        <w:t xml:space="preserve"> </w:t>
      </w:r>
      <w:r>
        <w:t xml:space="preserve">transfer.</w:t>
      </w:r>
    </w:p>
    <w:p>
      <w:pPr>
        <w:pStyle w:val="Compact"/>
        <w:pStyle w:val="Abstract"/>
      </w:pPr>
      <w:r>
        <w:rPr>
          <w:b/>
        </w:rPr>
        <w:t xml:space="preserve">Keywords:</w:t>
      </w:r>
      <w:r>
        <w:t xml:space="preserve"> </w:t>
      </w:r>
      <w:r>
        <w:t xml:space="preserve">Trauma,</w:t>
      </w:r>
      <w:r>
        <w:t xml:space="preserve"> </w:t>
      </w:r>
      <w:r>
        <w:t xml:space="preserve">Clinical</w:t>
      </w:r>
      <w:r>
        <w:t xml:space="preserve"> </w:t>
      </w:r>
      <w:r>
        <w:t xml:space="preserve">prediction</w:t>
      </w:r>
      <w:r>
        <w:t xml:space="preserve"> </w:t>
      </w:r>
      <w:r>
        <w:t xml:space="preserve">model,</w:t>
      </w:r>
      <w:r>
        <w:t xml:space="preserve"> </w:t>
      </w:r>
      <w:r>
        <w:t xml:space="preserve">Transferability,</w:t>
      </w:r>
      <w:r>
        <w:t xml:space="preserve"> </w:t>
      </w:r>
      <w:r>
        <w:t xml:space="preserve">Mistriage,</w:t>
      </w:r>
      <w:r>
        <w:t xml:space="preserve"> </w:t>
      </w:r>
      <w:r>
        <w:t xml:space="preserve">Undertriage,</w:t>
      </w:r>
      <w:r>
        <w:t xml:space="preserve"> </w:t>
      </w:r>
      <w:r>
        <w:t xml:space="preserve">Overtriage</w:t>
      </w:r>
    </w:p>
    <w:p>
      <w:pPr>
        <w:pStyle w:val="Rubrik1"/>
      </w:pPr>
      <w:bookmarkStart w:id="20" w:name="introduction"/>
      <w:r>
        <w:t xml:space="preserve">Introduction</w:t>
      </w:r>
      <w:bookmarkEnd w:id="20"/>
    </w:p>
    <w:p>
      <w:pPr>
        <w:pStyle w:val="FirstParagraph"/>
      </w:pPr>
      <w:r>
        <w:t xml:space="preserve">Trauma, defined as physical injuries to a host by outside objects</w:t>
      </w:r>
      <w:r>
        <w:t xml:space="preserve"> </w:t>
      </w:r>
      <w:r>
        <w:t xml:space="preserve">[1]</w:t>
      </w:r>
      <w:r>
        <w:t xml:space="preserve">,</w:t>
      </w:r>
      <w:r>
        <w:t xml:space="preserve"> </w:t>
      </w:r>
      <w:r>
        <w:t xml:space="preserve">accounts for approximately 458.5 million cases annually across the globe</w:t>
      </w:r>
      <w:r>
        <w:t xml:space="preserve"> </w:t>
      </w:r>
      <w:r>
        <w:t xml:space="preserve">[2]</w:t>
      </w:r>
      <w:r>
        <w:t xml:space="preserve"> </w:t>
      </w:r>
      <w:r>
        <w:t xml:space="preserve">and around four million deaths</w:t>
      </w:r>
      <w:r>
        <w:t xml:space="preserve"> </w:t>
      </w:r>
      <w:r>
        <w:t xml:space="preserve">[3, 4]</w:t>
      </w:r>
      <w:r>
        <w:t xml:space="preserve">. Each year, 9% of global</w:t>
      </w:r>
      <w:r>
        <w:t xml:space="preserve"> </w:t>
      </w:r>
      <w:r>
        <w:t xml:space="preserve">deaths are the result of trauma, with the leading causes being road traffic accidents,</w:t>
      </w:r>
      <w:r>
        <w:t xml:space="preserve"> </w:t>
      </w:r>
      <w:r>
        <w:t xml:space="preserve">suicide, and homicide. Predictions indicate that the incidence of these causes is</w:t>
      </w:r>
      <w:r>
        <w:t xml:space="preserve"> </w:t>
      </w:r>
      <w:r>
        <w:t xml:space="preserve">likely to increase by 2030</w:t>
      </w:r>
      <w:r>
        <w:t xml:space="preserve"> </w:t>
      </w:r>
      <w:r>
        <w:t xml:space="preserve">[5]</w:t>
      </w:r>
      <w:r>
        <w:t xml:space="preserve">.</w:t>
      </w:r>
    </w:p>
    <w:p>
      <w:pPr>
        <w:pStyle w:val="Brdtext"/>
      </w:pPr>
      <w:r>
        <w:t xml:space="preserve">In a typical high-resource setting, the initial management of trauma is</w:t>
      </w:r>
      <w:r>
        <w:t xml:space="preserve"> </w:t>
      </w:r>
      <w:r>
        <w:t xml:space="preserve">performed on the scene by Emergency Medical Services</w:t>
      </w:r>
      <w:r>
        <w:t xml:space="preserve"> </w:t>
      </w:r>
      <w:r>
        <w:t xml:space="preserve">(EMS). Patient data and vital signs are transferred to the receiving hospital.</w:t>
      </w:r>
      <w:r>
        <w:t xml:space="preserve"> </w:t>
      </w:r>
      <w:r>
        <w:t xml:space="preserve">This information is then evaluated using a system to determine</w:t>
      </w:r>
      <w:r>
        <w:t xml:space="preserve"> </w:t>
      </w:r>
      <w:r>
        <w:t xml:space="preserve">the level of trauma, prepare adequate resources</w:t>
      </w:r>
      <w:r>
        <w:t xml:space="preserve"> </w:t>
      </w:r>
      <w:r>
        <w:t xml:space="preserve">[6]</w:t>
      </w:r>
      <w:r>
        <w:t xml:space="preserve"> </w:t>
      </w:r>
      <w:r>
        <w:t xml:space="preserve">and dictate whether a full</w:t>
      </w:r>
      <w:r>
        <w:t xml:space="preserve"> </w:t>
      </w:r>
      <w:r>
        <w:t xml:space="preserve">or limited trauma team is activated</w:t>
      </w:r>
      <w:r>
        <w:t xml:space="preserve"> </w:t>
      </w:r>
      <w:r>
        <w:t xml:space="preserve">[7]</w:t>
      </w:r>
      <w:r>
        <w:t xml:space="preserve">.</w:t>
      </w:r>
    </w:p>
    <w:p>
      <w:pPr>
        <w:pStyle w:val="Brdtext"/>
      </w:pPr>
      <w:r>
        <w:t xml:space="preserve">Systems that determine the level of trauma during early trauma care can be based</w:t>
      </w:r>
      <w:r>
        <w:t xml:space="preserve"> </w:t>
      </w:r>
      <w:r>
        <w:t xml:space="preserve">on clinical prediction models. Models differ in quality and characteristics but</w:t>
      </w:r>
      <w:r>
        <w:t xml:space="preserve"> </w:t>
      </w:r>
      <w:r>
        <w:t xml:space="preserve">generally perform well at predicting survival</w:t>
      </w:r>
      <w:r>
        <w:t xml:space="preserve"> </w:t>
      </w:r>
      <w:r>
        <w:t xml:space="preserve">[8]</w:t>
      </w:r>
      <w:r>
        <w:t xml:space="preserve">. Many models are developed</w:t>
      </w:r>
      <w:r>
        <w:t xml:space="preserve"> </w:t>
      </w:r>
      <w:r>
        <w:t xml:space="preserve">in a single, standardized context, such as a major trauma centre, but are then</w:t>
      </w:r>
      <w:r>
        <w:t xml:space="preserve"> </w:t>
      </w:r>
      <w:r>
        <w:t xml:space="preserve">implemented in different contexts, such as non-trauma centres.</w:t>
      </w:r>
    </w:p>
    <w:p>
      <w:pPr>
        <w:pStyle w:val="Brdtext"/>
      </w:pPr>
      <w:r>
        <w:t xml:space="preserve">What is not fully understood is how this transfer affects model</w:t>
      </w:r>
      <w:r>
        <w:t xml:space="preserve"> </w:t>
      </w:r>
      <w:r>
        <w:t xml:space="preserve">performance. Previous research has shown that model performance in terms of</w:t>
      </w:r>
      <w:r>
        <w:t xml:space="preserve"> </w:t>
      </w:r>
      <w:r>
        <w:t xml:space="preserve">calibration can be adversely affected</w:t>
      </w:r>
      <w:r>
        <w:t xml:space="preserve"> </w:t>
      </w:r>
      <w:r>
        <w:t xml:space="preserve">[9]</w:t>
      </w:r>
      <w:r>
        <w:t xml:space="preserve">. However, the aforementioned</w:t>
      </w:r>
      <w:r>
        <w:t xml:space="preserve"> </w:t>
      </w:r>
      <w:r>
        <w:t xml:space="preserve">research studied model transfers between substantially different settings and</w:t>
      </w:r>
      <w:r>
        <w:t xml:space="preserve"> </w:t>
      </w:r>
      <w:r>
        <w:t xml:space="preserve">did not assess more clinically relevant performance measures, such as</w:t>
      </w:r>
      <w:r>
        <w:t xml:space="preserve"> </w:t>
      </w:r>
      <w:r>
        <w:t xml:space="preserve">misclassification.</w:t>
      </w:r>
    </w:p>
    <w:p>
      <w:pPr>
        <w:pStyle w:val="Brdtext"/>
      </w:pPr>
      <w:r>
        <w:t xml:space="preserve">In trauma, misclassification is often referred to as mistriage. Triage refers to</w:t>
      </w:r>
      <w:r>
        <w:t xml:space="preserve"> </w:t>
      </w:r>
      <w:r>
        <w:t xml:space="preserve">the classification of trauma severity as minor or major. Mistriage can be</w:t>
      </w:r>
      <w:r>
        <w:t xml:space="preserve"> </w:t>
      </w:r>
      <w:r>
        <w:t xml:space="preserve">subdivided into overtriage, which is the incorrect classification of a patient with minor</w:t>
      </w:r>
      <w:r>
        <w:t xml:space="preserve"> </w:t>
      </w:r>
      <w:r>
        <w:t xml:space="preserve">trauma as one with major trauma, or undertriage, which is the incorrect classification of a patient</w:t>
      </w:r>
      <w:r>
        <w:t xml:space="preserve"> </w:t>
      </w:r>
      <w:r>
        <w:t xml:space="preserve">with major trauma as one with minor trauma. Mistriage can ultimately lead to decreased patient</w:t>
      </w:r>
      <w:r>
        <w:t xml:space="preserve"> </w:t>
      </w:r>
      <w:r>
        <w:t xml:space="preserve">survival and is also detrimental to patient care and the distribution of resources</w:t>
      </w:r>
      <w:r>
        <w:t xml:space="preserve"> </w:t>
      </w:r>
      <w:r>
        <w:t xml:space="preserve">[7]</w:t>
      </w:r>
      <w:r>
        <w:t xml:space="preserve">.</w:t>
      </w:r>
    </w:p>
    <w:p>
      <w:pPr>
        <w:pStyle w:val="Brdtext"/>
      </w:pPr>
      <w:r>
        <w:t xml:space="preserve">Thus, the effect of model transfers between care contexts within a single healthcare system,</w:t>
      </w:r>
      <w:r>
        <w:t xml:space="preserve"> </w:t>
      </w:r>
      <w:r>
        <w:t xml:space="preserve">as well as the effect of such transfers on mistriage, have not been studied and represent</w:t>
      </w:r>
      <w:r>
        <w:t xml:space="preserve"> </w:t>
      </w:r>
      <w:r>
        <w:t xml:space="preserve">substantial knowledge gaps. The aim of this study was to assess how transfers</w:t>
      </w:r>
      <w:r>
        <w:t xml:space="preserve"> </w:t>
      </w:r>
      <w:r>
        <w:t xml:space="preserve">of clinical prediction models for early trauma care between different care contexts</w:t>
      </w:r>
      <w:r>
        <w:t xml:space="preserve"> </w:t>
      </w:r>
      <w:r>
        <w:t xml:space="preserve">within a single health system affect mistriage rates.</w:t>
      </w:r>
    </w:p>
    <w:p>
      <w:pPr>
        <w:pStyle w:val="Rubrik1"/>
      </w:pPr>
      <w:bookmarkStart w:id="21" w:name="materials-and-methods"/>
      <w:r>
        <w:t xml:space="preserve">Materials and methods</w:t>
      </w:r>
      <w:bookmarkEnd w:id="21"/>
    </w:p>
    <w:p>
      <w:pPr>
        <w:pStyle w:val="Rubrik2"/>
      </w:pPr>
      <w:bookmarkStart w:id="22" w:name="study-design"/>
      <w:r>
        <w:t xml:space="preserve">Study design</w:t>
      </w:r>
      <w:bookmarkEnd w:id="22"/>
    </w:p>
    <w:p>
      <w:pPr>
        <w:pStyle w:val="FirstParagraph"/>
      </w:pPr>
      <w:r>
        <w:t xml:space="preserve">A registry-based cohort study was conducted. Sweden has a nationally encompassing</w:t>
      </w:r>
      <w:r>
        <w:t xml:space="preserve"> </w:t>
      </w:r>
      <w:r>
        <w:t xml:space="preserve">trauma registry called SweTrau. SweTrau data were used to create</w:t>
      </w:r>
      <w:r>
        <w:t xml:space="preserve"> </w:t>
      </w:r>
      <w:r>
        <w:t xml:space="preserve">clinical prediction models, which were then transferred between different care contexts to</w:t>
      </w:r>
      <w:r>
        <w:t xml:space="preserve"> </w:t>
      </w:r>
      <w:r>
        <w:t xml:space="preserve">study the effects on mistriage. The study and analysis plans were made</w:t>
      </w:r>
      <w:r>
        <w:t xml:space="preserve"> </w:t>
      </w:r>
      <w:r>
        <w:t xml:space="preserve">publicly available before the research was undertaken</w:t>
      </w:r>
      <w:r>
        <w:t xml:space="preserve"> </w:t>
      </w:r>
      <w:r>
        <w:t xml:space="preserve">[10]</w:t>
      </w:r>
      <w:r>
        <w:t xml:space="preserve">.</w:t>
      </w:r>
    </w:p>
    <w:p>
      <w:pPr>
        <w:pStyle w:val="Rubrik2"/>
      </w:pPr>
      <w:bookmarkStart w:id="23" w:name="setting"/>
      <w:r>
        <w:t xml:space="preserve">Setting</w:t>
      </w:r>
      <w:bookmarkEnd w:id="23"/>
    </w:p>
    <w:p>
      <w:pPr>
        <w:pStyle w:val="FirstParagraph"/>
      </w:pPr>
      <w:r>
        <w:t xml:space="preserve">In Sweden, trauma is the most common cause of death before 44 years of age, and</w:t>
      </w:r>
      <w:r>
        <w:t xml:space="preserve"> </w:t>
      </w:r>
      <w:r>
        <w:t xml:space="preserve">10% of major trauma patients suffer some form of disability.</w:t>
      </w:r>
      <w:r>
        <w:t xml:space="preserve"> </w:t>
      </w:r>
      <w:r>
        <w:t xml:space="preserve">The societal effects of trauma are substantial, with the loss</w:t>
      </w:r>
      <w:r>
        <w:t xml:space="preserve"> </w:t>
      </w:r>
      <w:r>
        <w:t xml:space="preserve">of days at work comparable to those lost from cardiovascular and malignant diseases</w:t>
      </w:r>
      <w:r>
        <w:t xml:space="preserve"> </w:t>
      </w:r>
      <w:r>
        <w:t xml:space="preserve">combined</w:t>
      </w:r>
      <w:r>
        <w:t xml:space="preserve"> </w:t>
      </w:r>
      <w:r>
        <w:t xml:space="preserve">[11]</w:t>
      </w:r>
      <w:r>
        <w:t xml:space="preserve">.</w:t>
      </w:r>
    </w:p>
    <w:p>
      <w:pPr>
        <w:pStyle w:val="Brdtext"/>
      </w:pPr>
      <w:r>
        <w:t xml:space="preserve">Trauma care in Sweden is usually clearly defined in major</w:t>
      </w:r>
      <w:r>
        <w:t xml:space="preserve"> </w:t>
      </w:r>
      <w:r>
        <w:t xml:space="preserve">metropolitan areas: trauma patients are transported directly to a predesignated</w:t>
      </w:r>
      <w:r>
        <w:t xml:space="preserve"> </w:t>
      </w:r>
      <w:r>
        <w:t xml:space="preserve">hospital with specific trauma competency. In more rural parts of the</w:t>
      </w:r>
      <w:r>
        <w:t xml:space="preserve"> </w:t>
      </w:r>
      <w:r>
        <w:t xml:space="preserve">country, trauma patients are instead transported to the nearest hospital for</w:t>
      </w:r>
      <w:r>
        <w:t xml:space="preserve"> </w:t>
      </w:r>
      <w:r>
        <w:t xml:space="preserve">stabilization. Once stabilized, they may then be transported to a hospital with</w:t>
      </w:r>
      <w:r>
        <w:t xml:space="preserve"> </w:t>
      </w:r>
      <w:r>
        <w:t xml:space="preserve">more advanced trauma care capacity</w:t>
      </w:r>
      <w:r>
        <w:t xml:space="preserve"> </w:t>
      </w:r>
      <w:r>
        <w:t xml:space="preserve">[12]</w:t>
      </w:r>
      <w:r>
        <w:t xml:space="preserve">. Most hospitals in Sweden use some</w:t>
      </w:r>
      <w:r>
        <w:t xml:space="preserve"> </w:t>
      </w:r>
      <w:r>
        <w:t xml:space="preserve">system to categorize the level of trauma, usually</w:t>
      </w:r>
      <w:r>
        <w:t xml:space="preserve"> </w:t>
      </w:r>
      <w:r>
        <w:t xml:space="preserve">based on patient vital signs and the mechanism of injury, as reported by the EMS or as</w:t>
      </w:r>
      <w:r>
        <w:t xml:space="preserve"> </w:t>
      </w:r>
      <w:r>
        <w:t xml:space="preserve">registered in the emergency department</w:t>
      </w:r>
      <w:r>
        <w:t xml:space="preserve"> </w:t>
      </w:r>
      <w:r>
        <w:t xml:space="preserve">[13]</w:t>
      </w:r>
      <w:r>
        <w:t xml:space="preserve">.</w:t>
      </w:r>
    </w:p>
    <w:p>
      <w:pPr>
        <w:pStyle w:val="Brdtext"/>
      </w:pPr>
      <w:r>
        <w:t xml:space="preserve">Today, 52 of the 55 Swedish hospitals record trauma cases in SweTrau.</w:t>
      </w:r>
      <w:r>
        <w:t xml:space="preserve"> </w:t>
      </w:r>
      <w:r>
        <w:t xml:space="preserve">Currently, the registry includes 55 000 cases, and its use is encouraged for</w:t>
      </w:r>
      <w:r>
        <w:t xml:space="preserve"> </w:t>
      </w:r>
      <w:r>
        <w:t xml:space="preserve">both academic research and local quality improvement initiatives</w:t>
      </w:r>
      <w:r>
        <w:t xml:space="preserve"> </w:t>
      </w:r>
      <w:r>
        <w:t xml:space="preserve">[14]</w:t>
      </w:r>
      <w:r>
        <w:t xml:space="preserve">.</w:t>
      </w:r>
    </w:p>
    <w:p>
      <w:pPr>
        <w:pStyle w:val="Rubrik2"/>
      </w:pPr>
      <w:bookmarkStart w:id="24" w:name="participants"/>
      <w:r>
        <w:t xml:space="preserve">Participants</w:t>
      </w:r>
      <w:bookmarkEnd w:id="24"/>
    </w:p>
    <w:p>
      <w:pPr>
        <w:pStyle w:val="FirstParagraph"/>
      </w:pPr>
      <w:r>
        <w:t xml:space="preserve">The eligibility criteria were adult patients aged 15 years or above registered</w:t>
      </w:r>
      <w:r>
        <w:t xml:space="preserve"> </w:t>
      </w:r>
      <w:r>
        <w:t xml:space="preserve">in SweTrau between 2011 and 2016. The study aimed to assess adult trauma and not</w:t>
      </w:r>
      <w:r>
        <w:t xml:space="preserve"> </w:t>
      </w:r>
      <w:r>
        <w:t xml:space="preserve">paediatric trauma, which differs in physiology, triage and initial care</w:t>
      </w:r>
      <w:r>
        <w:t xml:space="preserve"> </w:t>
      </w:r>
      <w:r>
        <w:t xml:space="preserve">[15]</w:t>
      </w:r>
      <w:r>
        <w:t xml:space="preserve">. The Swedish guidelines for trauma activation define children as</w:t>
      </w:r>
      <w:r>
        <w:t xml:space="preserve"> </w:t>
      </w:r>
      <w:r>
        <w:t xml:space="preserve">individuals aged &lt;15 years</w:t>
      </w:r>
      <w:r>
        <w:t xml:space="preserve"> </w:t>
      </w:r>
      <w:r>
        <w:t xml:space="preserve">[13]</w:t>
      </w:r>
      <w:r>
        <w:t xml:space="preserve">. Further, patients with missing date and time</w:t>
      </w:r>
      <w:r>
        <w:t xml:space="preserve"> </w:t>
      </w:r>
      <w:r>
        <w:t xml:space="preserve">of trauma were excluded.</w:t>
      </w:r>
    </w:p>
    <w:p>
      <w:pPr>
        <w:pStyle w:val="Rubrik2"/>
      </w:pPr>
      <w:bookmarkStart w:id="25" w:name="variables"/>
      <w:r>
        <w:t xml:space="preserve">Variables</w:t>
      </w:r>
      <w:bookmarkEnd w:id="25"/>
    </w:p>
    <w:p>
      <w:pPr>
        <w:pStyle w:val="Rubrik3"/>
      </w:pPr>
      <w:bookmarkStart w:id="26" w:name="participant-characteristics"/>
      <w:r>
        <w:t xml:space="preserve">Participant characteristics</w:t>
      </w:r>
      <w:bookmarkEnd w:id="26"/>
    </w:p>
    <w:p>
      <w:pPr>
        <w:pStyle w:val="FirstParagraph"/>
      </w:pPr>
      <w:r>
        <w:t xml:space="preserve">To describe the patient cohort, we reported age, sex, Injury Severity Score (ISS)</w:t>
      </w:r>
      <w:r>
        <w:t xml:space="preserve"> </w:t>
      </w:r>
      <w:r>
        <w:t xml:space="preserve">and New ISS (NISS).</w:t>
      </w:r>
    </w:p>
    <w:p>
      <w:pPr>
        <w:pStyle w:val="Rubrik3"/>
      </w:pPr>
      <w:bookmarkStart w:id="27" w:name="model-predictors"/>
      <w:r>
        <w:t xml:space="preserve">Model predictors</w:t>
      </w:r>
      <w:bookmarkEnd w:id="27"/>
    </w:p>
    <w:p>
      <w:pPr>
        <w:pStyle w:val="FirstParagraph"/>
      </w:pPr>
      <w:r>
        <w:t xml:space="preserve">The clinical prediction models used the following predictors on arrival</w:t>
      </w:r>
      <w:r>
        <w:t xml:space="preserve"> </w:t>
      </w:r>
      <w:r>
        <w:t xml:space="preserve">at the hospital: systolic blood pressure (SBP), respiratory rate (RR) and</w:t>
      </w:r>
      <w:r>
        <w:t xml:space="preserve"> </w:t>
      </w:r>
      <w:r>
        <w:t xml:space="preserve">Glasgow coma scale (GCS). The rationale for using these three predictors</w:t>
      </w:r>
      <w:r>
        <w:t xml:space="preserve"> </w:t>
      </w:r>
      <w:r>
        <w:t xml:space="preserve">is that they are part of multiple established clinical prediction models</w:t>
      </w:r>
      <w:r>
        <w:t xml:space="preserve"> </w:t>
      </w:r>
      <w:r>
        <w:t xml:space="preserve">for early trauma care, such as the Revised Trauma Score</w:t>
      </w:r>
      <w:r>
        <w:t xml:space="preserve"> </w:t>
      </w:r>
      <w:r>
        <w:t xml:space="preserve">[16]</w:t>
      </w:r>
      <w:r>
        <w:t xml:space="preserve">.</w:t>
      </w:r>
    </w:p>
    <w:p>
      <w:pPr>
        <w:pStyle w:val="Rubrik3"/>
      </w:pPr>
      <w:bookmarkStart w:id="28" w:name="model-outcome"/>
      <w:r>
        <w:t xml:space="preserve">Model outcome</w:t>
      </w:r>
      <w:bookmarkEnd w:id="28"/>
    </w:p>
    <w:p>
      <w:pPr>
        <w:pStyle w:val="FirstParagraph"/>
      </w:pPr>
      <w:r>
        <w:t xml:space="preserve">The outcome used to develop the clinical prediction models was all-cause</w:t>
      </w:r>
      <w:r>
        <w:t xml:space="preserve"> </w:t>
      </w:r>
      <w:r>
        <w:t xml:space="preserve">mortality within 30 days of trauma.</w:t>
      </w:r>
    </w:p>
    <w:p>
      <w:pPr>
        <w:pStyle w:val="Rubrik3"/>
      </w:pPr>
      <w:bookmarkStart w:id="29" w:name="study-outcome"/>
      <w:r>
        <w:t xml:space="preserve">Study outcome</w:t>
      </w:r>
      <w:bookmarkEnd w:id="29"/>
    </w:p>
    <w:p>
      <w:pPr>
        <w:pStyle w:val="FirstParagraph"/>
      </w:pPr>
      <w:r>
        <w:t xml:space="preserve">ISS &gt; 15 was used as the gold standard to define trauma severity as major</w:t>
      </w:r>
      <w:r>
        <w:t xml:space="preserve"> </w:t>
      </w:r>
      <w:r>
        <w:t xml:space="preserve">trauma, and hence, patients with ISS ≤ 15 were considered to have minor trauma</w:t>
      </w:r>
      <w:r>
        <w:t xml:space="preserve"> </w:t>
      </w:r>
      <w:r>
        <w:t xml:space="preserve">[17]</w:t>
      </w:r>
      <w:r>
        <w:t xml:space="preserve">. Overtriage was defined as the event when a clinical prediction model</w:t>
      </w:r>
      <w:r>
        <w:t xml:space="preserve"> </w:t>
      </w:r>
      <w:r>
        <w:t xml:space="preserve">classified a patient with ISS ≤ 15 as having major trauma, and undertriage was defined as the event</w:t>
      </w:r>
      <w:r>
        <w:t xml:space="preserve"> </w:t>
      </w:r>
      <w:r>
        <w:t xml:space="preserve">when a clinical prediction model classified a patient with ISS &gt; 15 as having minor</w:t>
      </w:r>
      <w:r>
        <w:t xml:space="preserve"> </w:t>
      </w:r>
      <w:r>
        <w:t xml:space="preserve">trauma. The overtriage rate was defined as the number of overtriaged patients</w:t>
      </w:r>
      <w:r>
        <w:t xml:space="preserve"> </w:t>
      </w:r>
      <w:r>
        <w:t xml:space="preserve">divided by the total number of patients. The undertriage rate was defined as the number of</w:t>
      </w:r>
      <w:r>
        <w:t xml:space="preserve"> </w:t>
      </w:r>
      <w:r>
        <w:t xml:space="preserve">undertriaged patients divided by the total number of patients. The mistriage rate was defined as the</w:t>
      </w:r>
      <w:r>
        <w:t xml:space="preserve"> </w:t>
      </w:r>
      <w:r>
        <w:t xml:space="preserve">sum of the over- and undertriage rates.</w:t>
      </w:r>
    </w:p>
    <w:p>
      <w:pPr>
        <w:pStyle w:val="Rubrik2"/>
      </w:pPr>
      <w:bookmarkStart w:id="30" w:name="data-sources-and-measurements"/>
      <w:r>
        <w:t xml:space="preserve">Data sources and measurements</w:t>
      </w:r>
      <w:bookmarkEnd w:id="30"/>
    </w:p>
    <w:p>
      <w:pPr>
        <w:pStyle w:val="FirstParagraph"/>
      </w:pPr>
      <w:r>
        <w:t xml:space="preserve">Model predictors, outcome, participant characteristics and study outcome as</w:t>
      </w:r>
      <w:r>
        <w:t xml:space="preserve"> </w:t>
      </w:r>
      <w:r>
        <w:t xml:space="preserve">outlined above were all obtained from SweTrau. The method of measurement of the</w:t>
      </w:r>
      <w:r>
        <w:t xml:space="preserve"> </w:t>
      </w:r>
      <w:r>
        <w:t xml:space="preserve">model predictors is not specified in the registry entries. In Swedish emergency rooms,</w:t>
      </w:r>
      <w:r>
        <w:t xml:space="preserve"> </w:t>
      </w:r>
      <w:r>
        <w:t xml:space="preserve">patient parameters are usually obtained by a registered nurse or assistant nurse</w:t>
      </w:r>
      <w:r>
        <w:t xml:space="preserve"> </w:t>
      </w:r>
      <w:r>
        <w:t xml:space="preserve">and are assumed to be accurate. Whether the patient is dead or alive 30 days</w:t>
      </w:r>
      <w:r>
        <w:t xml:space="preserve"> </w:t>
      </w:r>
      <w:r>
        <w:t xml:space="preserve">after trauma is manually entered into the registry by each respective</w:t>
      </w:r>
      <w:r>
        <w:t xml:space="preserve"> </w:t>
      </w:r>
      <w:r>
        <w:t xml:space="preserve">hospital. The NISS and ISS are calculated by hospital personnel</w:t>
      </w:r>
      <w:r>
        <w:t xml:space="preserve"> </w:t>
      </w:r>
      <w:r>
        <w:t xml:space="preserve">based on the patient’s injuries.</w:t>
      </w:r>
    </w:p>
    <w:p>
      <w:pPr>
        <w:pStyle w:val="Rubrik2"/>
      </w:pPr>
      <w:bookmarkStart w:id="31" w:name="bias"/>
      <w:r>
        <w:t xml:space="preserve">Bias</w:t>
      </w:r>
      <w:bookmarkEnd w:id="31"/>
    </w:p>
    <w:p>
      <w:pPr>
        <w:pStyle w:val="FirstParagraph"/>
      </w:pPr>
      <w:r>
        <w:t xml:space="preserve">Data analysis was conducted according to a prearranged analysis plan. The</w:t>
      </w:r>
      <w:r>
        <w:t xml:space="preserve"> </w:t>
      </w:r>
      <w:r>
        <w:t xml:space="preserve">analysis plan and statistical analysis code were finalised using simulated</w:t>
      </w:r>
      <w:r>
        <w:t xml:space="preserve"> </w:t>
      </w:r>
      <w:r>
        <w:t xml:space="preserve">data. These efforts were made to avoid confirmation bias. The analysis plan was</w:t>
      </w:r>
      <w:r>
        <w:t xml:space="preserve"> </w:t>
      </w:r>
      <w:r>
        <w:t xml:space="preserve">reviewed by an experienced statistician and programmer prior to implementation.</w:t>
      </w:r>
      <w:r>
        <w:t xml:space="preserve"> </w:t>
      </w:r>
      <w:r>
        <w:t xml:space="preserve">Neither the outcome nor variables were blinded during analysis, which</w:t>
      </w:r>
      <w:r>
        <w:t xml:space="preserve"> </w:t>
      </w:r>
      <w:r>
        <w:t xml:space="preserve">made a structured approach important to ensure objectivity.</w:t>
      </w:r>
    </w:p>
    <w:p>
      <w:pPr>
        <w:pStyle w:val="Rubrik2"/>
      </w:pPr>
      <w:bookmarkStart w:id="32" w:name="study-size"/>
      <w:r>
        <w:t xml:space="preserve">Study size</w:t>
      </w:r>
      <w:bookmarkEnd w:id="32"/>
    </w:p>
    <w:p>
      <w:pPr>
        <w:pStyle w:val="FirstParagraph"/>
      </w:pPr>
      <w:r>
        <w:t xml:space="preserve">All patients matching the eligibility criteria were included. Four data sets were</w:t>
      </w:r>
      <w:r>
        <w:t xml:space="preserve"> </w:t>
      </w:r>
      <w:r>
        <w:t xml:space="preserve">used to study the transfer of clinical prediction models, with each data set</w:t>
      </w:r>
      <w:r>
        <w:t xml:space="preserve"> </w:t>
      </w:r>
      <w:r>
        <w:t xml:space="preserve">representing a different care context. The data sets and sample size considerations</w:t>
      </w:r>
      <w:r>
        <w:t xml:space="preserve"> </w:t>
      </w:r>
      <w:r>
        <w:t xml:space="preserve">are outlined below.</w:t>
      </w:r>
    </w:p>
    <w:p>
      <w:pPr>
        <w:pStyle w:val="Rubrik2"/>
      </w:pPr>
      <w:bookmarkStart w:id="33" w:name="quantitative-variables"/>
      <w:r>
        <w:t xml:space="preserve">Quantitative variables</w:t>
      </w:r>
      <w:bookmarkEnd w:id="33"/>
    </w:p>
    <w:p>
      <w:pPr>
        <w:pStyle w:val="FirstParagraph"/>
      </w:pPr>
      <w:r>
        <w:t xml:space="preserve">GCS, SBP, and RR were modelled as continuous linear terms. In the original study</w:t>
      </w:r>
      <w:r>
        <w:t xml:space="preserve"> </w:t>
      </w:r>
      <w:r>
        <w:t xml:space="preserve">plan it was specified that SBP and RR would be modelled using restricted cubic</w:t>
      </w:r>
      <w:r>
        <w:t xml:space="preserve"> </w:t>
      </w:r>
      <w:r>
        <w:t xml:space="preserve">splines with four knots. This approach however resulted in an unstable</w:t>
      </w:r>
      <w:r>
        <w:t xml:space="preserve"> </w:t>
      </w:r>
      <w:r>
        <w:t xml:space="preserve">imputation model and we therefore decided to simplify the analysis model. ISS</w:t>
      </w:r>
      <w:r>
        <w:t xml:space="preserve"> </w:t>
      </w:r>
      <w:r>
        <w:t xml:space="preserve">was presented as dichotomous, using ISS &gt; 15 as the cutoff.</w:t>
      </w:r>
    </w:p>
    <w:p>
      <w:pPr>
        <w:pStyle w:val="Rubrik2"/>
      </w:pPr>
      <w:bookmarkStart w:id="34" w:name="statistical-methods"/>
      <w:r>
        <w:t xml:space="preserve">Statistical methods</w:t>
      </w:r>
      <w:bookmarkEnd w:id="34"/>
    </w:p>
    <w:p>
      <w:pPr>
        <w:pStyle w:val="Rubrik3"/>
      </w:pPr>
      <w:bookmarkStart w:id="35" w:name="data-sets"/>
      <w:r>
        <w:t xml:space="preserve">Data sets</w:t>
      </w:r>
      <w:bookmarkEnd w:id="35"/>
    </w:p>
    <w:p>
      <w:pPr>
        <w:pStyle w:val="FirstParagraph"/>
      </w:pPr>
      <w:r>
        <w:t xml:space="preserve">The complete SweTrau cohort was split into three overlapping sets of data, each</w:t>
      </w:r>
      <w:r>
        <w:t xml:space="preserve"> </w:t>
      </w:r>
      <w:r>
        <w:t xml:space="preserve">representing a plausible care context for model transfer. These data sets were</w:t>
      </w:r>
      <w:r>
        <w:t xml:space="preserve"> </w:t>
      </w:r>
      <w:r>
        <w:t xml:space="preserve">further divided into samples as follows:</w:t>
      </w:r>
    </w:p>
    <w:p>
      <w:pPr>
        <w:pStyle w:val="Rubrik3"/>
      </w:pPr>
      <w:bookmarkStart w:id="36" w:name="data-set-1-high--and-low-volume-centres"/>
      <w:r>
        <w:t xml:space="preserve">Data set 1: High- and low-volume centres</w:t>
      </w:r>
      <w:bookmarkEnd w:id="36"/>
    </w:p>
    <w:p>
      <w:pPr>
        <w:pStyle w:val="FirstParagraph"/>
      </w:pPr>
      <w:r>
        <w:t xml:space="preserve">Two samples were derived from the SweTrau cohort based on the number of patients.</w:t>
      </w:r>
      <w:r>
        <w:t xml:space="preserve"> </w:t>
      </w:r>
      <w:r>
        <w:t xml:space="preserve">High-volume centres were those within the top quartile in terms of the number of</w:t>
      </w:r>
      <w:r>
        <w:t xml:space="preserve"> </w:t>
      </w:r>
      <w:r>
        <w:t xml:space="preserve">patients received. The rest were low-volume centres.</w:t>
      </w:r>
    </w:p>
    <w:p>
      <w:pPr>
        <w:pStyle w:val="Rubrik3"/>
      </w:pPr>
      <w:bookmarkStart w:id="37" w:name="data-set-2-metropolitan-and-non-metropolitan-centres"/>
      <w:r>
        <w:t xml:space="preserve">Data set 2: Metropolitan and non-metropolitan centres</w:t>
      </w:r>
      <w:bookmarkEnd w:id="37"/>
    </w:p>
    <w:p>
      <w:pPr>
        <w:pStyle w:val="FirstParagraph"/>
      </w:pPr>
      <w:r>
        <w:t xml:space="preserve">This data set was also split into two samples: a metropolitan sample consisting of</w:t>
      </w:r>
      <w:r>
        <w:t xml:space="preserve"> </w:t>
      </w:r>
      <w:r>
        <w:t xml:space="preserve">patients from greater Stockholm, greater Gothenburg and greater Malmö, as defined by</w:t>
      </w:r>
      <w:r>
        <w:t xml:space="preserve"> </w:t>
      </w:r>
      <w:r>
        <w:t xml:space="preserve">Swedish statistics, and a second sample consisting of patients from non-metropolitan areas.</w:t>
      </w:r>
    </w:p>
    <w:p>
      <w:pPr>
        <w:pStyle w:val="Rubrik3"/>
      </w:pPr>
      <w:bookmarkStart w:id="38" w:name="data-set-3-multiple-and-single-centre-data"/>
      <w:r>
        <w:t xml:space="preserve">Data set 3: Multiple and single centre data</w:t>
      </w:r>
      <w:bookmarkEnd w:id="38"/>
    </w:p>
    <w:p>
      <w:pPr>
        <w:pStyle w:val="FirstParagraph"/>
      </w:pPr>
      <w:r>
        <w:t xml:space="preserve">In this data set, two samples were created. One centre with a large enough</w:t>
      </w:r>
      <w:r>
        <w:t xml:space="preserve"> </w:t>
      </w:r>
      <w:r>
        <w:t xml:space="preserve">sample sizes to develop and validate a model was its own sample. The multiple centres</w:t>
      </w:r>
      <w:r>
        <w:t xml:space="preserve"> </w:t>
      </w:r>
      <w:r>
        <w:t xml:space="preserve">sample consisted of the combined data from all centres.</w:t>
      </w:r>
    </w:p>
    <w:p>
      <w:pPr>
        <w:pStyle w:val="Brdtext"/>
      </w:pPr>
      <w:r>
        <w:t xml:space="preserve">A fourth dataset was initially created, consisting of individual centres that</w:t>
      </w:r>
      <w:r>
        <w:t xml:space="preserve"> </w:t>
      </w:r>
      <w:r>
        <w:t xml:space="preserve">had large enough sample size to develop and validate a model. However, this</w:t>
      </w:r>
      <w:r>
        <w:t xml:space="preserve"> </w:t>
      </w:r>
      <w:r>
        <w:t xml:space="preserve">data set was removed before analysis due to a lack of centres</w:t>
      </w:r>
      <w:r>
        <w:t xml:space="preserve"> </w:t>
      </w:r>
      <w:r>
        <w:t xml:space="preserve">with a sufficiently large sample size.</w:t>
      </w:r>
    </w:p>
    <w:p>
      <w:pPr>
        <w:pStyle w:val="Rubrik3"/>
      </w:pPr>
      <w:bookmarkStart w:id="39" w:name="development-and-validation-sample"/>
      <w:r>
        <w:t xml:space="preserve">Development and validation sample</w:t>
      </w:r>
      <w:bookmarkEnd w:id="39"/>
    </w:p>
    <w:p>
      <w:pPr>
        <w:pStyle w:val="FirstParagraph"/>
      </w:pPr>
      <w:r>
        <w:t xml:space="preserve">The samples in each data set were split into two subsamples using a temporal</w:t>
      </w:r>
      <w:r>
        <w:t xml:space="preserve"> </w:t>
      </w:r>
      <w:r>
        <w:t xml:space="preserve">split based on the date of trauma. The earlier subsample was the development</w:t>
      </w:r>
      <w:r>
        <w:t xml:space="preserve"> </w:t>
      </w:r>
      <w:r>
        <w:t xml:space="preserve">sample, and the later subsample was the validation sample. The development</w:t>
      </w:r>
      <w:r>
        <w:t xml:space="preserve"> </w:t>
      </w:r>
      <w:r>
        <w:t xml:space="preserve">sample contained 75 events (events being patients who died within 30 days of the</w:t>
      </w:r>
      <w:r>
        <w:t xml:space="preserve"> </w:t>
      </w:r>
      <w:r>
        <w:t xml:space="preserve">trauma) and all non-events (non-events being patients who survived 30 days past</w:t>
      </w:r>
      <w:r>
        <w:t xml:space="preserve"> </w:t>
      </w:r>
      <w:r>
        <w:t xml:space="preserve">the trauma) during the same time. The rationale for including 75 events was that</w:t>
      </w:r>
      <w:r>
        <w:t xml:space="preserve"> </w:t>
      </w:r>
      <w:r>
        <w:t xml:space="preserve">25 events per variable have been shown to result in less biased coefficient</w:t>
      </w:r>
      <w:r>
        <w:t xml:space="preserve"> </w:t>
      </w:r>
      <w:r>
        <w:t xml:space="preserve">estimates compared to the more standard 10 events per variable</w:t>
      </w:r>
      <w:r>
        <w:t xml:space="preserve"> </w:t>
      </w:r>
      <w:r>
        <w:t xml:space="preserve">[18, 19]</w:t>
      </w:r>
      <w:r>
        <w:t xml:space="preserve">. The validation sample contained 100 events and at least 100</w:t>
      </w:r>
      <w:r>
        <w:t xml:space="preserve"> </w:t>
      </w:r>
      <w:r>
        <w:t xml:space="preserve">non-events, which was suggested as the minimum number by Vergouwe in 2005 for</w:t>
      </w:r>
      <w:r>
        <w:t xml:space="preserve"> </w:t>
      </w:r>
      <w:r>
        <w:t xml:space="preserve">external validation samples</w:t>
      </w:r>
      <w:r>
        <w:t xml:space="preserve"> </w:t>
      </w:r>
      <w:r>
        <w:t xml:space="preserve">[20]</w:t>
      </w:r>
      <w:r>
        <w:t xml:space="preserve">. Figure 1 shows the development of the</w:t>
      </w:r>
      <w:r>
        <w:t xml:space="preserve"> </w:t>
      </w:r>
      <w:r>
        <w:t xml:space="preserve">samples using the high- and low-volume centre data set as an example. The</w:t>
      </w:r>
      <w:r>
        <w:t xml:space="preserve"> </w:t>
      </w:r>
      <w:r>
        <w:t xml:space="preserve">minimum sample sizes of the development and validation samples were 150 and 200,</w:t>
      </w:r>
      <w:r>
        <w:t xml:space="preserve"> </w:t>
      </w:r>
      <w:r>
        <w:t xml:space="preserve">respectively. We performed analyses only on data sets for which all samples</w:t>
      </w:r>
      <w:r>
        <w:t xml:space="preserve"> </w:t>
      </w:r>
      <w:r>
        <w:t xml:space="preserve">included at least the minimum sample size.</w:t>
      </w:r>
    </w:p>
    <w:p>
      <w:pPr>
        <w:pStyle w:val="Brdtext"/>
      </w:pPr>
      <w:r>
        <w:drawing>
          <wp:inline>
            <wp:extent cx="5969000" cy="3103018"/>
            <wp:effectExtent b="0" l="0" r="0" t="0"/>
            <wp:docPr descr="" title="" id="1" name="Picture"/>
            <a:graphic>
              <a:graphicData uri="http://schemas.openxmlformats.org/drawingml/2006/picture">
                <pic:pic>
                  <pic:nvPicPr>
                    <pic:cNvPr descr="fig1.jpg" id="0" name="Picture"/>
                    <pic:cNvPicPr>
                      <a:picLocks noChangeArrowheads="1" noChangeAspect="1"/>
                    </pic:cNvPicPr>
                  </pic:nvPicPr>
                  <pic:blipFill>
                    <a:blip r:embed="rId40"/>
                    <a:stretch>
                      <a:fillRect/>
                    </a:stretch>
                  </pic:blipFill>
                  <pic:spPr bwMode="auto">
                    <a:xfrm>
                      <a:off x="0" y="0"/>
                      <a:ext cx="5969000" cy="3103018"/>
                    </a:xfrm>
                    <a:prstGeom prst="rect">
                      <a:avLst/>
                    </a:prstGeom>
                    <a:noFill/>
                    <a:ln w="9525">
                      <a:noFill/>
                      <a:headEnd/>
                      <a:tailEnd/>
                    </a:ln>
                  </pic:spPr>
                </pic:pic>
              </a:graphicData>
            </a:graphic>
          </wp:inline>
        </w:drawing>
      </w:r>
      <w:r>
        <w:br w:type="textWrapping"/>
      </w:r>
      <w:r>
        <w:rPr>
          <w:b/>
        </w:rPr>
        <w:t xml:space="preserve">Fig. 1: Sample development in the high- and low-volume centre data set.</w:t>
      </w:r>
      <w:r>
        <w:t xml:space="preserve"> </w:t>
      </w:r>
      <w:r>
        <w:t xml:space="preserve">Initial</w:t>
      </w:r>
      <w:r>
        <w:t xml:space="preserve"> </w:t>
      </w:r>
      <w:r>
        <w:t xml:space="preserve">split based on the number of patients. Temporal split made using the date of the trauma.</w:t>
      </w:r>
    </w:p>
    <w:p>
      <w:pPr>
        <w:pStyle w:val="Rubrik3"/>
      </w:pPr>
      <w:bookmarkStart w:id="41" w:name="sequence-of-analysis"/>
      <w:r>
        <w:t xml:space="preserve">Sequence of analysis</w:t>
      </w:r>
      <w:bookmarkEnd w:id="41"/>
    </w:p>
    <w:p>
      <w:pPr>
        <w:pStyle w:val="FirstParagraph"/>
      </w:pPr>
      <w:r>
        <w:t xml:space="preserve">The programming language R was used for all analyses</w:t>
      </w:r>
      <w:r>
        <w:t xml:space="preserve"> </w:t>
      </w:r>
      <w:r>
        <w:t xml:space="preserve">[21]</w:t>
      </w:r>
      <w:r>
        <w:t xml:space="preserve">, and all code has</w:t>
      </w:r>
      <w:r>
        <w:t xml:space="preserve"> </w:t>
      </w:r>
      <w:r>
        <w:t xml:space="preserve">been made publicly available</w:t>
      </w:r>
      <w:r>
        <w:t xml:space="preserve"> </w:t>
      </w:r>
      <w:r>
        <w:t xml:space="preserve">[10]</w:t>
      </w:r>
      <w:r>
        <w:t xml:space="preserve">. Analyses were performed in the sequence of</w:t>
      </w:r>
      <w:r>
        <w:t xml:space="preserve"> </w:t>
      </w:r>
      <w:r>
        <w:t xml:space="preserve">model development, model validation and finally model comparison. These steps</w:t>
      </w:r>
      <w:r>
        <w:t xml:space="preserve"> </w:t>
      </w:r>
      <w:r>
        <w:t xml:space="preserve">were repeated in each data set. Below, we use the transfer of a model from the</w:t>
      </w:r>
      <w:r>
        <w:t xml:space="preserve"> </w:t>
      </w:r>
      <w:r>
        <w:t xml:space="preserve">high-volume centre sample to the low-volume centre sample as an example to</w:t>
      </w:r>
      <w:r>
        <w:t xml:space="preserve"> </w:t>
      </w:r>
      <w:r>
        <w:t xml:space="preserve">describe the complete procedure.</w:t>
      </w:r>
    </w:p>
    <w:p>
      <w:pPr>
        <w:pStyle w:val="Rubrik3"/>
      </w:pPr>
      <w:bookmarkStart w:id="42" w:name="model-development"/>
      <w:r>
        <w:t xml:space="preserve">Model development</w:t>
      </w:r>
      <w:bookmarkEnd w:id="42"/>
    </w:p>
    <w:p>
      <w:pPr>
        <w:pStyle w:val="FirstParagraph"/>
      </w:pPr>
      <w:r>
        <w:t xml:space="preserve">In the model development step, a clinical prediction model was developed in the</w:t>
      </w:r>
      <w:r>
        <w:t xml:space="preserve"> </w:t>
      </w:r>
      <w:r>
        <w:t xml:space="preserve">high-volume centre development sample. The model was developed using logistic</w:t>
      </w:r>
      <w:r>
        <w:t xml:space="preserve"> </w:t>
      </w:r>
      <w:r>
        <w:t xml:space="preserve">regression. The dependent variable was all-cause mortality within 30 days of</w:t>
      </w:r>
      <w:r>
        <w:t xml:space="preserve"> </w:t>
      </w:r>
      <w:r>
        <w:t xml:space="preserve">trauma, and the independent variables SBP, RR, and GCS were modelled as</w:t>
      </w:r>
      <w:r>
        <w:t xml:space="preserve"> </w:t>
      </w:r>
      <w:r>
        <w:t xml:space="preserve">previously described. To avoid overfitting the model, a bootstrap procedure was</w:t>
      </w:r>
      <w:r>
        <w:t xml:space="preserve"> </w:t>
      </w:r>
      <w:r>
        <w:t xml:space="preserve">used to estimate a linear shrinkage factor that was then applied to the model</w:t>
      </w:r>
      <w:r>
        <w:t xml:space="preserve"> </w:t>
      </w:r>
      <w:r>
        <w:t xml:space="preserve">coefficients</w:t>
      </w:r>
      <w:r>
        <w:t xml:space="preserve"> </w:t>
      </w:r>
      <w:r>
        <w:t xml:space="preserve">[22]</w:t>
      </w:r>
      <w:r>
        <w:t xml:space="preserve">. The shrunk model was used to estimate the probability of</w:t>
      </w:r>
      <w:r>
        <w:t xml:space="preserve"> </w:t>
      </w:r>
      <w:r>
        <w:t xml:space="preserve">all-cause 30-day mortality in the development sample. A grid search was</w:t>
      </w:r>
      <w:r>
        <w:t xml:space="preserve"> </w:t>
      </w:r>
      <w:r>
        <w:t xml:space="preserve">performed across estimated probabilities in the development sample to identify</w:t>
      </w:r>
      <w:r>
        <w:t xml:space="preserve"> </w:t>
      </w:r>
      <w:r>
        <w:t xml:space="preserve">the cutoff value that optimised overtriage while keeping undertriage at less</w:t>
      </w:r>
      <w:r>
        <w:t xml:space="preserve"> </w:t>
      </w:r>
      <w:r>
        <w:t xml:space="preserve">than 5%</w:t>
      </w:r>
      <w:r>
        <w:t xml:space="preserve"> </w:t>
      </w:r>
      <w:r>
        <w:t xml:space="preserve">[23]</w:t>
      </w:r>
      <w:r>
        <w:t xml:space="preserve">. This cutoff value was then used to classify patients as having</w:t>
      </w:r>
      <w:r>
        <w:t xml:space="preserve"> </w:t>
      </w:r>
      <w:r>
        <w:t xml:space="preserve">major or minor trauma.</w:t>
      </w:r>
    </w:p>
    <w:p>
      <w:pPr>
        <w:pStyle w:val="Rubrik3"/>
      </w:pPr>
      <w:bookmarkStart w:id="43" w:name="model-validation"/>
      <w:r>
        <w:t xml:space="preserve">Model validation</w:t>
      </w:r>
      <w:bookmarkEnd w:id="43"/>
    </w:p>
    <w:p>
      <w:pPr>
        <w:pStyle w:val="FirstParagraph"/>
      </w:pPr>
      <w:r>
        <w:t xml:space="preserve">In the model validation step, the model performance was assessed in the</w:t>
      </w:r>
      <w:r>
        <w:t xml:space="preserve"> </w:t>
      </w:r>
      <w:r>
        <w:t xml:space="preserve">high-volume centre validation sample and in the low-volume centre validation</w:t>
      </w:r>
      <w:r>
        <w:t xml:space="preserve"> </w:t>
      </w:r>
      <w:r>
        <w:t xml:space="preserve">sample. First, the model was used to estimate the probability of all-cause 30-day</w:t>
      </w:r>
      <w:r>
        <w:t xml:space="preserve"> </w:t>
      </w:r>
      <w:r>
        <w:t xml:space="preserve">mortality in each sample. Then, the probability cutoff value identified in the</w:t>
      </w:r>
      <w:r>
        <w:t xml:space="preserve"> </w:t>
      </w:r>
      <w:r>
        <w:t xml:space="preserve">development sample was applied to the validation samples, patients were</w:t>
      </w:r>
      <w:r>
        <w:t xml:space="preserve"> </w:t>
      </w:r>
      <w:r>
        <w:t xml:space="preserve">classified as having major or minor trauma, and the model performance was estimated.</w:t>
      </w:r>
    </w:p>
    <w:p>
      <w:pPr>
        <w:pStyle w:val="Rubrik3"/>
      </w:pPr>
      <w:bookmarkStart w:id="44" w:name="model-comparison"/>
      <w:r>
        <w:t xml:space="preserve">Model comparison</w:t>
      </w:r>
      <w:bookmarkEnd w:id="44"/>
    </w:p>
    <w:p>
      <w:pPr>
        <w:pStyle w:val="FirstParagraph"/>
      </w:pPr>
      <w:r>
        <w:t xml:space="preserve">Finally, the difference in model performance between the high- and low-volume</w:t>
      </w:r>
      <w:r>
        <w:t xml:space="preserve"> </w:t>
      </w:r>
      <w:r>
        <w:t xml:space="preserve">centre validation samples was calculated. Empirical bootstrapping was used to</w:t>
      </w:r>
      <w:r>
        <w:t xml:space="preserve"> </w:t>
      </w:r>
      <w:r>
        <w:t xml:space="preserve">estimate the 95% confidence intervals (CI) around the performance and the</w:t>
      </w:r>
      <w:r>
        <w:t xml:space="preserve"> </w:t>
      </w:r>
      <w:r>
        <w:t xml:space="preserve">differences in the performance estimates. Both bootstrap procedures used 1 000</w:t>
      </w:r>
      <w:r>
        <w:t xml:space="preserve"> </w:t>
      </w:r>
      <w:r>
        <w:t xml:space="preserve">bootstrap samples drawn with replacement of the same size as the original</w:t>
      </w:r>
      <w:r>
        <w:t xml:space="preserve"> </w:t>
      </w:r>
      <w:r>
        <w:t xml:space="preserve">samples. The three steps of model development, model validation, and model</w:t>
      </w:r>
      <w:r>
        <w:t xml:space="preserve"> </w:t>
      </w:r>
      <w:r>
        <w:t xml:space="preserve">comparison were repeated in all four sets of data.</w:t>
      </w:r>
    </w:p>
    <w:p>
      <w:pPr>
        <w:pStyle w:val="Rubrik3"/>
      </w:pPr>
      <w:bookmarkStart w:id="45" w:name="performance-measures"/>
      <w:r>
        <w:t xml:space="preserve">Performance measures</w:t>
      </w:r>
      <w:bookmarkEnd w:id="45"/>
    </w:p>
    <w:p>
      <w:pPr>
        <w:pStyle w:val="FirstParagraph"/>
      </w:pPr>
      <w:r>
        <w:t xml:space="preserve">Model performance was assessed in terms of over-, under-, and mistriage rates as</w:t>
      </w:r>
      <w:r>
        <w:t xml:space="preserve"> </w:t>
      </w:r>
      <w:r>
        <w:t xml:space="preserve">defined above.</w:t>
      </w:r>
    </w:p>
    <w:p>
      <w:pPr>
        <w:pStyle w:val="Rubrik3"/>
      </w:pPr>
      <w:bookmarkStart w:id="46" w:name="missing-data"/>
      <w:r>
        <w:t xml:space="preserve">Missing data</w:t>
      </w:r>
      <w:bookmarkEnd w:id="46"/>
    </w:p>
    <w:p>
      <w:pPr>
        <w:pStyle w:val="FirstParagraph"/>
      </w:pPr>
      <w:r>
        <w:t xml:space="preserve">We used multiple imputation using chained equations (mice) to handle missing</w:t>
      </w:r>
      <w:r>
        <w:t xml:space="preserve"> </w:t>
      </w:r>
      <w:r>
        <w:t xml:space="preserve">data</w:t>
      </w:r>
      <w:r>
        <w:t xml:space="preserve"> </w:t>
      </w:r>
      <w:r>
        <w:t xml:space="preserve">[24]</w:t>
      </w:r>
      <w:r>
        <w:t xml:space="preserve">. The number of imputations created for each data set was equal to</w:t>
      </w:r>
      <w:r>
        <w:t xml:space="preserve"> </w:t>
      </w:r>
      <w:r>
        <w:t xml:space="preserve">the highest percentage of missing data in that data set. Quantitative variables</w:t>
      </w:r>
      <w:r>
        <w:t xml:space="preserve"> </w:t>
      </w:r>
      <w:r>
        <w:t xml:space="preserve">were imputed using predictive mean matching, and qualitative variables were</w:t>
      </w:r>
      <w:r>
        <w:t xml:space="preserve"> </w:t>
      </w:r>
      <w:r>
        <w:t xml:space="preserve">imputed using logistic regression. All analyses outlined above were then</w:t>
      </w:r>
      <w:r>
        <w:t xml:space="preserve"> </w:t>
      </w:r>
      <w:r>
        <w:t xml:space="preserve">conducted separately in each imputed dataset. We present the combined results as</w:t>
      </w:r>
      <w:r>
        <w:t xml:space="preserve"> </w:t>
      </w:r>
      <w:r>
        <w:t xml:space="preserve">the median point estimate across imputations along with an empirical bootstrap</w:t>
      </w:r>
      <w:r>
        <w:t xml:space="preserve"> </w:t>
      </w:r>
      <w:r>
        <w:t xml:space="preserve">of the 25th and 75th percentiles across imputations, i.e. the lower bound of the</w:t>
      </w:r>
      <w:r>
        <w:t xml:space="preserve"> </w:t>
      </w:r>
      <w:r>
        <w:t xml:space="preserve">presented interval is the lower bound of a 95% CI of the 25th percentile, and</w:t>
      </w:r>
      <w:r>
        <w:t xml:space="preserve"> </w:t>
      </w:r>
      <w:r>
        <w:t xml:space="preserve">the upper bound is the upper bound of a 95% CI of the 75th percentile. This</w:t>
      </w:r>
      <w:r>
        <w:t xml:space="preserve"> </w:t>
      </w:r>
      <w:r>
        <w:t xml:space="preserve">combined CI was referred to as an uncertainty interval (UI) and was used to</w:t>
      </w:r>
      <w:r>
        <w:t xml:space="preserve"> </w:t>
      </w:r>
      <w:r>
        <w:t xml:space="preserve">express the added uncertainty associated with the imputation procedure to handle</w:t>
      </w:r>
      <w:r>
        <w:t xml:space="preserve"> </w:t>
      </w:r>
      <w:r>
        <w:t xml:space="preserve">missing data; as such, it is more conservative than a standard 95% CI.</w:t>
      </w:r>
    </w:p>
    <w:p>
      <w:pPr>
        <w:pStyle w:val="Rubrik2"/>
      </w:pPr>
      <w:bookmarkStart w:id="47" w:name="ethical-considerations"/>
      <w:r>
        <w:t xml:space="preserve">Ethical considerations</w:t>
      </w:r>
      <w:bookmarkEnd w:id="47"/>
    </w:p>
    <w:p>
      <w:pPr>
        <w:pStyle w:val="FirstParagraph"/>
      </w:pPr>
      <w:r>
        <w:t xml:space="preserve">The study was approved by the regional ethics review board in Stockholm, Sweden.</w:t>
      </w:r>
      <w:r>
        <w:t xml:space="preserve"> </w:t>
      </w:r>
      <w:r>
        <w:t xml:space="preserve">The ethics review numbers are 2015/426-31 and 2016/461-32. All patients in SweTrau</w:t>
      </w:r>
      <w:r>
        <w:t xml:space="preserve"> </w:t>
      </w:r>
      <w:r>
        <w:t xml:space="preserve">received letters detailing their inclusion in the database and the possibility</w:t>
      </w:r>
      <w:r>
        <w:t xml:space="preserve"> </w:t>
      </w:r>
      <w:r>
        <w:t xml:space="preserve">of their data being used for scientific purposes. It was assumed that the patients</w:t>
      </w:r>
      <w:r>
        <w:t xml:space="preserve"> </w:t>
      </w:r>
      <w:r>
        <w:t xml:space="preserve">who consented to the use of their SweTrau data for research wanted to contribute to</w:t>
      </w:r>
      <w:r>
        <w:t xml:space="preserve"> </w:t>
      </w:r>
      <w:r>
        <w:t xml:space="preserve">the improvement of care, and thus, by performing this study, the authors hope to</w:t>
      </w:r>
      <w:r>
        <w:t xml:space="preserve"> </w:t>
      </w:r>
      <w:r>
        <w:t xml:space="preserve">honour their wishes.</w:t>
      </w:r>
    </w:p>
    <w:p>
      <w:pPr>
        <w:pStyle w:val="Rubrik1"/>
      </w:pPr>
      <w:bookmarkStart w:id="48" w:name="results"/>
      <w:r>
        <w:t xml:space="preserve">Results</w:t>
      </w:r>
      <w:bookmarkEnd w:id="48"/>
    </w:p>
    <w:p>
      <w:pPr>
        <w:pStyle w:val="FirstParagraph"/>
      </w:pPr>
      <w:r>
        <w:t xml:space="preserve">We analysed data from 26965 trauma patients to</w:t>
      </w:r>
      <w:r>
        <w:t xml:space="preserve"> </w:t>
      </w:r>
      <w:r>
        <w:t xml:space="preserve">investigate the effects of transfer on clinical prediction models (Table 1), after</w:t>
      </w:r>
      <w:r>
        <w:t xml:space="preserve"> </w:t>
      </w:r>
      <w:r>
        <w:t xml:space="preserve">excluding 78 patients with missing date and time of</w:t>
      </w:r>
      <w:r>
        <w:t xml:space="preserve"> </w:t>
      </w:r>
      <w:r>
        <w:t xml:space="preserve">trauma. The total number of missing observations across all variables was 9984</w:t>
      </w:r>
      <w:r>
        <w:t xml:space="preserve"> </w:t>
      </w:r>
      <w:r>
        <w:t xml:space="preserve">in the entire study cohort. The sample with the highest</w:t>
      </w:r>
      <w:r>
        <w:t xml:space="preserve"> </w:t>
      </w:r>
      <w:r>
        <w:t xml:space="preserve">percentage of missing observations was the non-metropolitan</w:t>
      </w:r>
      <w:r>
        <w:t xml:space="preserve"> </w:t>
      </w:r>
      <w:r>
        <w:t xml:space="preserve">sample, with 48% incomplete observations. The</w:t>
      </w:r>
      <w:r>
        <w:t xml:space="preserve"> </w:t>
      </w:r>
      <w:r>
        <w:t xml:space="preserve">variable with the highest number of missing values was the ed_rr_value,</w:t>
      </w:r>
      <w:r>
        <w:t xml:space="preserve"> </w:t>
      </w:r>
      <w:r>
        <w:t xml:space="preserve">with 8296 missing values, or 31% of</w:t>
      </w:r>
      <w:r>
        <w:t xml:space="preserve"> </w:t>
      </w:r>
      <w:r>
        <w:t xml:space="preserve">the total values for this variable. The percentages of missing values for the other</w:t>
      </w:r>
      <w:r>
        <w:t xml:space="preserve"> </w:t>
      </w:r>
      <w:r>
        <w:t xml:space="preserve">model predictors were 8% for GCS and 9%</w:t>
      </w:r>
      <w:r>
        <w:t xml:space="preserve"> </w:t>
      </w:r>
      <w:r>
        <w:t xml:space="preserve">for SBP.</w:t>
      </w:r>
    </w:p>
    <w:p>
      <w:pPr>
        <w:pStyle w:val="Brdtext"/>
      </w:pPr>
      <w:r>
        <w:rPr>
          <w:b/>
        </w:rPr>
        <w:t xml:space="preserve">Table 1. Sample characteristics of multiple imputed data.</w:t>
      </w:r>
      <w:r>
        <w:t xml:space="preserve"> </w:t>
      </w:r>
      <w:r>
        <w:t xml:space="preserve">Data are presented as medians with interquartile range (IQR) or counts with %, as applicable.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n (%)</w:t>
            </w:r>
          </w:p>
        </w:tc>
        <w:tc>
          <w:p>
            <w:pPr>
              <w:pStyle w:val="Compact"/>
            </w:pPr>
          </w:p>
        </w:tc>
        <w:tc>
          <w:p>
            <w:pPr>
              <w:pStyle w:val="Compact"/>
              <w:jc w:val="left"/>
            </w:pPr>
            <w:r>
              <w:t xml:space="preserve">20021 (74.2)</w:t>
            </w:r>
          </w:p>
        </w:tc>
        <w:tc>
          <w:p>
            <w:pPr>
              <w:pStyle w:val="Compact"/>
              <w:jc w:val="left"/>
            </w:pPr>
            <w:r>
              <w:t xml:space="preserve">6944 (25.8)</w:t>
            </w:r>
          </w:p>
        </w:tc>
      </w:tr>
      <w:tr>
        <w:tc>
          <w:p>
            <w:pPr>
              <w:pStyle w:val="Compact"/>
              <w:jc w:val="left"/>
            </w:pPr>
            <w:r>
              <w:t xml:space="preserve">Age, years (median [IQR])</w:t>
            </w:r>
          </w:p>
        </w:tc>
        <w:tc>
          <w:p>
            <w:pPr>
              <w:pStyle w:val="Compact"/>
            </w:pPr>
          </w:p>
        </w:tc>
        <w:tc>
          <w:p>
            <w:pPr>
              <w:pStyle w:val="Compact"/>
              <w:jc w:val="left"/>
            </w:pPr>
            <w:r>
              <w:t xml:space="preserve">40.0 [25.0, 57.0]</w:t>
            </w:r>
          </w:p>
        </w:tc>
        <w:tc>
          <w:p>
            <w:pPr>
              <w:pStyle w:val="Compact"/>
              <w:jc w:val="left"/>
            </w:pPr>
            <w:r>
              <w:t xml:space="preserve">46.0 [27.0, 64.0]</w:t>
            </w:r>
          </w:p>
        </w:tc>
      </w:tr>
      <w:tr>
        <w:tc>
          <w:p>
            <w:pPr>
              <w:pStyle w:val="Compact"/>
              <w:jc w:val="left"/>
            </w:pPr>
            <w:r>
              <w:t xml:space="preserve">Sex (%)</w:t>
            </w:r>
          </w:p>
        </w:tc>
        <w:tc>
          <w:p>
            <w:pPr>
              <w:pStyle w:val="Compact"/>
              <w:jc w:val="left"/>
            </w:pPr>
            <w:r>
              <w:t xml:space="preserve">Male</w:t>
            </w:r>
          </w:p>
        </w:tc>
        <w:tc>
          <w:p>
            <w:pPr>
              <w:pStyle w:val="Compact"/>
              <w:jc w:val="left"/>
            </w:pPr>
            <w:r>
              <w:t xml:space="preserve">13134.5 (65.6)</w:t>
            </w:r>
          </w:p>
        </w:tc>
        <w:tc>
          <w:p>
            <w:pPr>
              <w:pStyle w:val="Compact"/>
              <w:jc w:val="left"/>
            </w:pPr>
            <w:r>
              <w:t xml:space="preserve">4680.5 (67.4)</w:t>
            </w:r>
          </w:p>
        </w:tc>
      </w:tr>
      <w:tr>
        <w:tc>
          <w:p>
            <w:pPr>
              <w:pStyle w:val="Compact"/>
            </w:pPr>
          </w:p>
        </w:tc>
        <w:tc>
          <w:p>
            <w:pPr>
              <w:pStyle w:val="Compact"/>
              <w:jc w:val="left"/>
            </w:pPr>
            <w:r>
              <w:t xml:space="preserve">Female</w:t>
            </w:r>
          </w:p>
        </w:tc>
        <w:tc>
          <w:p>
            <w:pPr>
              <w:pStyle w:val="Compact"/>
              <w:jc w:val="left"/>
            </w:pPr>
            <w:r>
              <w:t xml:space="preserve">6886.5 (34.4)</w:t>
            </w:r>
          </w:p>
        </w:tc>
        <w:tc>
          <w:p>
            <w:pPr>
              <w:pStyle w:val="Compact"/>
              <w:jc w:val="left"/>
            </w:pPr>
            <w:r>
              <w:t xml:space="preserve">2263.5 (32.6)</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[125.0, 153.0]</w:t>
            </w:r>
          </w:p>
        </w:tc>
        <w:tc>
          <w:p>
            <w:pPr>
              <w:pStyle w:val="Compact"/>
              <w:jc w:val="left"/>
            </w:pPr>
            <w:r>
              <w:t xml:space="preserve">136.0 [120.0, 152.0]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19.0 [16.0, 22.0]</w:t>
            </w:r>
          </w:p>
        </w:tc>
      </w:tr>
      <w:tr>
        <w:tc>
          <w:p>
            <w:pPr>
              <w:pStyle w:val="Compact"/>
              <w:jc w:val="left"/>
            </w:pPr>
            <w:r>
              <w:t xml:space="preserve">30-day survival (%)</w:t>
            </w:r>
          </w:p>
        </w:tc>
        <w:tc>
          <w:p>
            <w:pPr>
              <w:pStyle w:val="Compact"/>
              <w:jc w:val="left"/>
            </w:pPr>
            <w:r>
              <w:t xml:space="preserve">Alive</w:t>
            </w:r>
          </w:p>
        </w:tc>
        <w:tc>
          <w:p>
            <w:pPr>
              <w:pStyle w:val="Compact"/>
              <w:jc w:val="left"/>
            </w:pPr>
            <w:r>
              <w:t xml:space="preserve">19270.9 (96.3)</w:t>
            </w:r>
          </w:p>
        </w:tc>
        <w:tc>
          <w:p>
            <w:pPr>
              <w:pStyle w:val="Compact"/>
              <w:jc w:val="left"/>
            </w:pPr>
            <w:r>
              <w:t xml:space="preserve">6546.5 (94.3)</w:t>
            </w:r>
          </w:p>
        </w:tc>
      </w:tr>
      <w:tr>
        <w:tc>
          <w:p>
            <w:pPr>
              <w:pStyle w:val="Compact"/>
            </w:pPr>
          </w:p>
        </w:tc>
        <w:tc>
          <w:p>
            <w:pPr>
              <w:pStyle w:val="Compact"/>
              <w:jc w:val="left"/>
            </w:pPr>
            <w:r>
              <w:t xml:space="preserve">Dead</w:t>
            </w:r>
          </w:p>
        </w:tc>
        <w:tc>
          <w:p>
            <w:pPr>
              <w:pStyle w:val="Compact"/>
              <w:jc w:val="left"/>
            </w:pPr>
            <w:r>
              <w:t xml:space="preserve">750.1 (3.7)</w:t>
            </w:r>
          </w:p>
        </w:tc>
        <w:tc>
          <w:p>
            <w:pPr>
              <w:pStyle w:val="Compact"/>
              <w:jc w:val="left"/>
            </w:pPr>
            <w:r>
              <w:t xml:space="preserve">397.5 (5.7)</w:t>
            </w:r>
          </w:p>
        </w:tc>
      </w:tr>
      <w:tr>
        <w:tc>
          <w:p>
            <w:pPr>
              <w:pStyle w:val="Compact"/>
              <w:jc w:val="left"/>
            </w:pPr>
            <w:r>
              <w:t xml:space="preserve">ISS (median [IQR])</w:t>
            </w:r>
          </w:p>
        </w:tc>
        <w:tc>
          <w:p>
            <w:pPr>
              <w:pStyle w:val="Compact"/>
            </w:pPr>
          </w:p>
        </w:tc>
        <w:tc>
          <w:p>
            <w:pPr>
              <w:pStyle w:val="Compact"/>
              <w:jc w:val="left"/>
            </w:pPr>
            <w:r>
              <w:t xml:space="preserve">3.0 [1.0, 9.0]</w:t>
            </w:r>
          </w:p>
        </w:tc>
        <w:tc>
          <w:p>
            <w:pPr>
              <w:pStyle w:val="Compact"/>
              <w:jc w:val="left"/>
            </w:pPr>
            <w:r>
              <w:t xml:space="preserve">5.0 [1.0, 13.0]</w:t>
            </w:r>
          </w:p>
        </w:tc>
      </w:tr>
      <w:tr>
        <w:tc>
          <w:p>
            <w:pPr>
              <w:pStyle w:val="Compact"/>
              <w:jc w:val="left"/>
            </w:pPr>
            <w:r>
              <w:t xml:space="preserve">NISS (median [IQR])</w:t>
            </w:r>
          </w:p>
        </w:tc>
        <w:tc>
          <w:p>
            <w:pPr>
              <w:pStyle w:val="Compact"/>
            </w:pPr>
          </w:p>
        </w:tc>
        <w:tc>
          <w:p>
            <w:pPr>
              <w:pStyle w:val="Compact"/>
              <w:jc w:val="left"/>
            </w:pPr>
            <w:r>
              <w:t xml:space="preserve">3.0 [1.0, 12.0]</w:t>
            </w:r>
          </w:p>
        </w:tc>
        <w:tc>
          <w:p>
            <w:pPr>
              <w:pStyle w:val="Compact"/>
              <w:jc w:val="left"/>
            </w:pPr>
            <w:r>
              <w:t xml:space="preserve">6.0 [1.0, 17.0]</w:t>
            </w:r>
          </w:p>
        </w:tc>
      </w:tr>
      <w:tr>
        <w:tc>
          <w:p>
            <w:pPr>
              <w:pStyle w:val="Compact"/>
              <w:jc w:val="left"/>
            </w:pPr>
            <w:r>
              <w:t xml:space="preserve">ISS&gt;15 (%)</w:t>
            </w:r>
          </w:p>
        </w:tc>
        <w:tc>
          <w:p>
            <w:pPr>
              <w:pStyle w:val="Compact"/>
              <w:jc w:val="left"/>
            </w:pPr>
            <w:r>
              <w:t xml:space="preserve">No</w:t>
            </w:r>
          </w:p>
        </w:tc>
        <w:tc>
          <w:p>
            <w:pPr>
              <w:pStyle w:val="Compact"/>
              <w:jc w:val="left"/>
            </w:pPr>
            <w:r>
              <w:t xml:space="preserve">17343.7 (86.6)</w:t>
            </w:r>
          </w:p>
        </w:tc>
        <w:tc>
          <w:p>
            <w:pPr>
              <w:pStyle w:val="Compact"/>
              <w:jc w:val="left"/>
            </w:pPr>
            <w:r>
              <w:t xml:space="preserve">5530.0 (79.6)</w:t>
            </w:r>
          </w:p>
        </w:tc>
      </w:tr>
      <w:tr>
        <w:tc>
          <w:p>
            <w:pPr>
              <w:pStyle w:val="Compact"/>
            </w:pPr>
          </w:p>
        </w:tc>
        <w:tc>
          <w:p>
            <w:pPr>
              <w:pStyle w:val="Compact"/>
              <w:jc w:val="left"/>
            </w:pPr>
            <w:r>
              <w:t xml:space="preserve">Yes</w:t>
            </w:r>
          </w:p>
        </w:tc>
        <w:tc>
          <w:p>
            <w:pPr>
              <w:pStyle w:val="Compact"/>
              <w:jc w:val="left"/>
            </w:pPr>
            <w:r>
              <w:t xml:space="preserve">2677.3 (13.4)</w:t>
            </w:r>
          </w:p>
        </w:tc>
        <w:tc>
          <w:p>
            <w:pPr>
              <w:pStyle w:val="Compact"/>
              <w:jc w:val="left"/>
            </w:pPr>
            <w:r>
              <w:t xml:space="preserve">1414.0 (20.4)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n (%)</w:t>
            </w:r>
          </w:p>
        </w:tc>
        <w:tc>
          <w:p>
            <w:pPr>
              <w:pStyle w:val="Compact"/>
            </w:pPr>
          </w:p>
        </w:tc>
        <w:tc>
          <w:p>
            <w:pPr>
              <w:pStyle w:val="Compact"/>
              <w:jc w:val="left"/>
            </w:pPr>
            <w:r>
              <w:t xml:space="preserve">13042 (48.4)</w:t>
            </w:r>
          </w:p>
        </w:tc>
        <w:tc>
          <w:p>
            <w:pPr>
              <w:pStyle w:val="Compact"/>
              <w:jc w:val="left"/>
            </w:pPr>
            <w:r>
              <w:t xml:space="preserve">13923 (51.6)</w:t>
            </w:r>
          </w:p>
        </w:tc>
      </w:tr>
      <w:tr>
        <w:tc>
          <w:p>
            <w:pPr>
              <w:pStyle w:val="Compact"/>
              <w:jc w:val="left"/>
            </w:pPr>
            <w:r>
              <w:t xml:space="preserve">Age, years (median [IQR])</w:t>
            </w:r>
          </w:p>
        </w:tc>
        <w:tc>
          <w:p>
            <w:pPr>
              <w:pStyle w:val="Compact"/>
            </w:pPr>
          </w:p>
        </w:tc>
        <w:tc>
          <w:p>
            <w:pPr>
              <w:pStyle w:val="Compact"/>
              <w:jc w:val="left"/>
            </w:pPr>
            <w:r>
              <w:t xml:space="preserve">41.0 [26.0, 58.0]</w:t>
            </w:r>
          </w:p>
        </w:tc>
        <w:tc>
          <w:p>
            <w:pPr>
              <w:pStyle w:val="Compact"/>
              <w:jc w:val="left"/>
            </w:pPr>
            <w:r>
              <w:t xml:space="preserve">42.0 [25.0, 60.0]</w:t>
            </w:r>
          </w:p>
        </w:tc>
      </w:tr>
      <w:tr>
        <w:tc>
          <w:p>
            <w:pPr>
              <w:pStyle w:val="Compact"/>
              <w:jc w:val="left"/>
            </w:pPr>
            <w:r>
              <w:t xml:space="preserve">Sex (%)</w:t>
            </w:r>
          </w:p>
        </w:tc>
        <w:tc>
          <w:p>
            <w:pPr>
              <w:pStyle w:val="Compact"/>
              <w:jc w:val="left"/>
            </w:pPr>
            <w:r>
              <w:t xml:space="preserve">Male</w:t>
            </w:r>
          </w:p>
        </w:tc>
        <w:tc>
          <w:p>
            <w:pPr>
              <w:pStyle w:val="Compact"/>
              <w:jc w:val="left"/>
            </w:pPr>
            <w:r>
              <w:t xml:space="preserve">8804.0 (67.5)</w:t>
            </w:r>
          </w:p>
        </w:tc>
        <w:tc>
          <w:p>
            <w:pPr>
              <w:pStyle w:val="Compact"/>
              <w:jc w:val="left"/>
            </w:pPr>
            <w:r>
              <w:t xml:space="preserve">9010.4 (64.7)</w:t>
            </w:r>
          </w:p>
        </w:tc>
      </w:tr>
      <w:tr>
        <w:tc>
          <w:p>
            <w:pPr>
              <w:pStyle w:val="Compact"/>
            </w:pPr>
          </w:p>
        </w:tc>
        <w:tc>
          <w:p>
            <w:pPr>
              <w:pStyle w:val="Compact"/>
              <w:jc w:val="left"/>
            </w:pPr>
            <w:r>
              <w:t xml:space="preserve">Female</w:t>
            </w:r>
          </w:p>
        </w:tc>
        <w:tc>
          <w:p>
            <w:pPr>
              <w:pStyle w:val="Compact"/>
              <w:jc w:val="left"/>
            </w:pPr>
            <w:r>
              <w:t xml:space="preserve">4238.0 (32.5)</w:t>
            </w:r>
          </w:p>
        </w:tc>
        <w:tc>
          <w:p>
            <w:pPr>
              <w:pStyle w:val="Compact"/>
              <w:jc w:val="left"/>
            </w:pPr>
            <w:r>
              <w:t xml:space="preserve">4912.6 (35.3)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[15.0, 15.0]</w:t>
            </w:r>
          </w:p>
        </w:tc>
      </w:tr>
      <w:tr>
        <w:tc>
          <w:p>
            <w:pPr>
              <w:pStyle w:val="Compact"/>
              <w:jc w:val="left"/>
            </w:pPr>
            <w:r>
              <w:t xml:space="preserve">SBP (median [IQR])</w:t>
            </w:r>
          </w:p>
        </w:tc>
        <w:tc>
          <w:p>
            <w:pPr>
              <w:pStyle w:val="Compact"/>
            </w:pPr>
          </w:p>
        </w:tc>
        <w:tc>
          <w:p>
            <w:pPr>
              <w:pStyle w:val="Compact"/>
              <w:jc w:val="left"/>
            </w:pPr>
            <w:r>
              <w:t xml:space="preserve">140.0 [125.0, 156.0]</w:t>
            </w:r>
          </w:p>
        </w:tc>
        <w:tc>
          <w:p>
            <w:pPr>
              <w:pStyle w:val="Compact"/>
              <w:jc w:val="left"/>
            </w:pPr>
            <w:r>
              <w:t xml:space="preserve">135.0 [121.0, 150.0]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21.0]</w:t>
            </w:r>
          </w:p>
        </w:tc>
      </w:tr>
      <w:tr>
        <w:tc>
          <w:p>
            <w:pPr>
              <w:pStyle w:val="Compact"/>
              <w:jc w:val="left"/>
            </w:pPr>
            <w:r>
              <w:t xml:space="preserve">30-day survival (%)</w:t>
            </w:r>
          </w:p>
        </w:tc>
        <w:tc>
          <w:p>
            <w:pPr>
              <w:pStyle w:val="Compact"/>
              <w:jc w:val="left"/>
            </w:pPr>
            <w:r>
              <w:t xml:space="preserve">Alive</w:t>
            </w:r>
          </w:p>
        </w:tc>
        <w:tc>
          <w:p>
            <w:pPr>
              <w:pStyle w:val="Compact"/>
              <w:jc w:val="left"/>
            </w:pPr>
            <w:r>
              <w:t xml:space="preserve">12428.1 (95.3)</w:t>
            </w:r>
          </w:p>
        </w:tc>
        <w:tc>
          <w:p>
            <w:pPr>
              <w:pStyle w:val="Compact"/>
              <w:jc w:val="left"/>
            </w:pPr>
            <w:r>
              <w:t xml:space="preserve">13397.4 (96.2)</w:t>
            </w:r>
          </w:p>
        </w:tc>
      </w:tr>
      <w:tr>
        <w:tc>
          <w:p>
            <w:pPr>
              <w:pStyle w:val="Compact"/>
            </w:pPr>
          </w:p>
        </w:tc>
        <w:tc>
          <w:p>
            <w:pPr>
              <w:pStyle w:val="Compact"/>
              <w:jc w:val="left"/>
            </w:pPr>
            <w:r>
              <w:t xml:space="preserve">Dead</w:t>
            </w:r>
          </w:p>
        </w:tc>
        <w:tc>
          <w:p>
            <w:pPr>
              <w:pStyle w:val="Compact"/>
              <w:jc w:val="left"/>
            </w:pPr>
            <w:r>
              <w:t xml:space="preserve">613.9 (4.7)</w:t>
            </w:r>
          </w:p>
        </w:tc>
        <w:tc>
          <w:p>
            <w:pPr>
              <w:pStyle w:val="Compact"/>
              <w:jc w:val="left"/>
            </w:pPr>
            <w:r>
              <w:t xml:space="preserve">525.6 (3.8)</w:t>
            </w:r>
          </w:p>
        </w:tc>
      </w:tr>
      <w:tr>
        <w:tc>
          <w:p>
            <w:pPr>
              <w:pStyle w:val="Compact"/>
              <w:jc w:val="left"/>
            </w:pPr>
            <w:r>
              <w:t xml:space="preserve">ISS (median [IQR])</w:t>
            </w:r>
          </w:p>
        </w:tc>
        <w:tc>
          <w:p>
            <w:pPr>
              <w:pStyle w:val="Compact"/>
            </w:pPr>
          </w:p>
        </w:tc>
        <w:tc>
          <w:p>
            <w:pPr>
              <w:pStyle w:val="Compact"/>
              <w:jc w:val="left"/>
            </w:pPr>
            <w:r>
              <w:t xml:space="preserve">4.0 [1.0, 10.0]</w:t>
            </w:r>
          </w:p>
        </w:tc>
        <w:tc>
          <w:p>
            <w:pPr>
              <w:pStyle w:val="Compact"/>
              <w:jc w:val="left"/>
            </w:pPr>
            <w:r>
              <w:t xml:space="preserve">3.0 [1.0, 9.0]</w:t>
            </w:r>
          </w:p>
        </w:tc>
      </w:tr>
      <w:tr>
        <w:tc>
          <w:p>
            <w:pPr>
              <w:pStyle w:val="Compact"/>
              <w:jc w:val="left"/>
            </w:pPr>
            <w:r>
              <w:t xml:space="preserve">NISS (median [IQR])</w:t>
            </w:r>
          </w:p>
        </w:tc>
        <w:tc>
          <w:p>
            <w:pPr>
              <w:pStyle w:val="Compact"/>
            </w:pPr>
          </w:p>
        </w:tc>
        <w:tc>
          <w:p>
            <w:pPr>
              <w:pStyle w:val="Compact"/>
              <w:jc w:val="left"/>
            </w:pPr>
            <w:r>
              <w:t xml:space="preserve">5.0 [1.0, 16.0]</w:t>
            </w:r>
          </w:p>
        </w:tc>
        <w:tc>
          <w:p>
            <w:pPr>
              <w:pStyle w:val="Compact"/>
              <w:jc w:val="left"/>
            </w:pPr>
            <w:r>
              <w:t xml:space="preserve">3.0 [1.0, 11.0]</w:t>
            </w:r>
          </w:p>
        </w:tc>
      </w:tr>
      <w:tr>
        <w:tc>
          <w:p>
            <w:pPr>
              <w:pStyle w:val="Compact"/>
              <w:jc w:val="left"/>
            </w:pPr>
            <w:r>
              <w:t xml:space="preserve">ISS&gt;15 (%)</w:t>
            </w:r>
          </w:p>
        </w:tc>
        <w:tc>
          <w:p>
            <w:pPr>
              <w:pStyle w:val="Compact"/>
              <w:jc w:val="left"/>
            </w:pPr>
            <w:r>
              <w:t xml:space="preserve">No</w:t>
            </w:r>
          </w:p>
        </w:tc>
        <w:tc>
          <w:p>
            <w:pPr>
              <w:pStyle w:val="Compact"/>
              <w:jc w:val="left"/>
            </w:pPr>
            <w:r>
              <w:t xml:space="preserve">10666.8 (81.8)</w:t>
            </w:r>
          </w:p>
        </w:tc>
        <w:tc>
          <w:p>
            <w:pPr>
              <w:pStyle w:val="Compact"/>
              <w:jc w:val="left"/>
            </w:pPr>
            <w:r>
              <w:t xml:space="preserve">12206.9 (87.7)</w:t>
            </w:r>
          </w:p>
        </w:tc>
      </w:tr>
      <w:tr>
        <w:tc>
          <w:p>
            <w:pPr>
              <w:pStyle w:val="Compact"/>
            </w:pPr>
          </w:p>
        </w:tc>
        <w:tc>
          <w:p>
            <w:pPr>
              <w:pStyle w:val="Compact"/>
              <w:jc w:val="left"/>
            </w:pPr>
            <w:r>
              <w:t xml:space="preserve">Yes</w:t>
            </w:r>
          </w:p>
        </w:tc>
        <w:tc>
          <w:p>
            <w:pPr>
              <w:pStyle w:val="Compact"/>
              <w:jc w:val="left"/>
            </w:pPr>
            <w:r>
              <w:t xml:space="preserve">2375.2 (18.2)</w:t>
            </w:r>
          </w:p>
        </w:tc>
        <w:tc>
          <w:p>
            <w:pPr>
              <w:pStyle w:val="Compact"/>
              <w:jc w:val="left"/>
            </w:pPr>
            <w:r>
              <w:t xml:space="preserve">1716.1 (12.3)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n (%)</w:t>
            </w:r>
          </w:p>
        </w:tc>
        <w:tc>
          <w:p>
            <w:pPr>
              <w:pStyle w:val="Compact"/>
            </w:pPr>
          </w:p>
        </w:tc>
        <w:tc>
          <w:p>
            <w:pPr>
              <w:pStyle w:val="Compact"/>
              <w:jc w:val="left"/>
            </w:pPr>
            <w:r>
              <w:t xml:space="preserve">26965 (81.9)</w:t>
            </w:r>
          </w:p>
        </w:tc>
        <w:tc>
          <w:p>
            <w:pPr>
              <w:pStyle w:val="Compact"/>
              <w:jc w:val="left"/>
            </w:pPr>
            <w:r>
              <w:t xml:space="preserve">5956 (18.1)</w:t>
            </w:r>
          </w:p>
        </w:tc>
      </w:tr>
      <w:tr>
        <w:tc>
          <w:p>
            <w:pPr>
              <w:pStyle w:val="Compact"/>
              <w:jc w:val="left"/>
            </w:pPr>
            <w:r>
              <w:t xml:space="preserve">Age, years (median [IQR])</w:t>
            </w:r>
          </w:p>
        </w:tc>
        <w:tc>
          <w:p>
            <w:pPr>
              <w:pStyle w:val="Compact"/>
            </w:pPr>
          </w:p>
        </w:tc>
        <w:tc>
          <w:p>
            <w:pPr>
              <w:pStyle w:val="Compact"/>
              <w:jc w:val="left"/>
            </w:pPr>
            <w:r>
              <w:t xml:space="preserve">41.0 [25.0, 59.0]</w:t>
            </w:r>
          </w:p>
        </w:tc>
        <w:tc>
          <w:p>
            <w:pPr>
              <w:pStyle w:val="Compact"/>
              <w:jc w:val="left"/>
            </w:pPr>
            <w:r>
              <w:t xml:space="preserve">42.0 [27.0, 59.0]</w:t>
            </w:r>
          </w:p>
        </w:tc>
      </w:tr>
      <w:tr>
        <w:tc>
          <w:p>
            <w:pPr>
              <w:pStyle w:val="Compact"/>
              <w:jc w:val="left"/>
            </w:pPr>
            <w:r>
              <w:t xml:space="preserve">Sex (%)</w:t>
            </w:r>
          </w:p>
        </w:tc>
        <w:tc>
          <w:p>
            <w:pPr>
              <w:pStyle w:val="Compact"/>
              <w:jc w:val="left"/>
            </w:pPr>
            <w:r>
              <w:t xml:space="preserve">Male</w:t>
            </w:r>
          </w:p>
        </w:tc>
        <w:tc>
          <w:p>
            <w:pPr>
              <w:pStyle w:val="Compact"/>
              <w:jc w:val="left"/>
            </w:pPr>
            <w:r>
              <w:t xml:space="preserve">17813.4 (66.1)</w:t>
            </w:r>
          </w:p>
        </w:tc>
        <w:tc>
          <w:p>
            <w:pPr>
              <w:pStyle w:val="Compact"/>
              <w:jc w:val="left"/>
            </w:pPr>
            <w:r>
              <w:t xml:space="preserve">4153.2 (69.7)</w:t>
            </w:r>
          </w:p>
        </w:tc>
      </w:tr>
      <w:tr>
        <w:tc>
          <w:p>
            <w:pPr>
              <w:pStyle w:val="Compact"/>
            </w:pPr>
          </w:p>
        </w:tc>
        <w:tc>
          <w:p>
            <w:pPr>
              <w:pStyle w:val="Compact"/>
              <w:jc w:val="left"/>
            </w:pPr>
            <w:r>
              <w:t xml:space="preserve">Female</w:t>
            </w:r>
          </w:p>
        </w:tc>
        <w:tc>
          <w:p>
            <w:pPr>
              <w:pStyle w:val="Compact"/>
              <w:jc w:val="left"/>
            </w:pPr>
            <w:r>
              <w:t xml:space="preserve">9151.6 (33.9)</w:t>
            </w:r>
          </w:p>
        </w:tc>
        <w:tc>
          <w:p>
            <w:pPr>
              <w:pStyle w:val="Compact"/>
              <w:jc w:val="left"/>
            </w:pPr>
            <w:r>
              <w:t xml:space="preserve">1802.8 (30.3)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138.0 [124.0, 153.0]</w:t>
            </w:r>
          </w:p>
        </w:tc>
        <w:tc>
          <w:p>
            <w:pPr>
              <w:pStyle w:val="Compact"/>
              <w:jc w:val="left"/>
            </w:pPr>
            <w:r>
              <w:t xml:space="preserve">140.0 [124.0, 157.0]</w:t>
            </w:r>
          </w:p>
        </w:tc>
      </w:tr>
      <w:tr>
        <w:tc>
          <w:p>
            <w:pPr>
              <w:pStyle w:val="Compact"/>
              <w:jc w:val="left"/>
            </w:pPr>
            <w:r>
              <w:t xml:space="preserve">RR (median [IQR])</w:t>
            </w:r>
          </w:p>
        </w:tc>
        <w:tc>
          <w:p>
            <w:pPr>
              <w:pStyle w:val="Compact"/>
            </w:pPr>
          </w:p>
        </w:tc>
        <w:tc>
          <w:p>
            <w:pPr>
              <w:pStyle w:val="Compact"/>
              <w:jc w:val="left"/>
            </w:pPr>
            <w:r>
              <w:t xml:space="preserve">18.0 [16.0, 21.0]</w:t>
            </w:r>
          </w:p>
        </w:tc>
        <w:tc>
          <w:p>
            <w:pPr>
              <w:pStyle w:val="Compact"/>
              <w:jc w:val="left"/>
            </w:pPr>
            <w:r>
              <w:t xml:space="preserve">18.0 [15.0, 20.0]</w:t>
            </w:r>
          </w:p>
        </w:tc>
      </w:tr>
      <w:tr>
        <w:tc>
          <w:p>
            <w:pPr>
              <w:pStyle w:val="Compact"/>
              <w:jc w:val="left"/>
            </w:pPr>
            <w:r>
              <w:t xml:space="preserve">30-day survival (%)</w:t>
            </w:r>
          </w:p>
        </w:tc>
        <w:tc>
          <w:p>
            <w:pPr>
              <w:pStyle w:val="Compact"/>
              <w:jc w:val="left"/>
            </w:pPr>
            <w:r>
              <w:t xml:space="preserve">Alive</w:t>
            </w:r>
          </w:p>
        </w:tc>
        <w:tc>
          <w:p>
            <w:pPr>
              <w:pStyle w:val="Compact"/>
              <w:jc w:val="left"/>
            </w:pPr>
            <w:r>
              <w:t xml:space="preserve">25827.7 (95.8)</w:t>
            </w:r>
          </w:p>
        </w:tc>
        <w:tc>
          <w:p>
            <w:pPr>
              <w:pStyle w:val="Compact"/>
              <w:jc w:val="left"/>
            </w:pPr>
            <w:r>
              <w:t xml:space="preserve">5628.2 (94.5)</w:t>
            </w:r>
          </w:p>
        </w:tc>
      </w:tr>
      <w:tr>
        <w:tc>
          <w:p>
            <w:pPr>
              <w:pStyle w:val="Compact"/>
            </w:pPr>
          </w:p>
        </w:tc>
        <w:tc>
          <w:p>
            <w:pPr>
              <w:pStyle w:val="Compact"/>
              <w:jc w:val="left"/>
            </w:pPr>
            <w:r>
              <w:t xml:space="preserve">Dead</w:t>
            </w:r>
          </w:p>
        </w:tc>
        <w:tc>
          <w:p>
            <w:pPr>
              <w:pStyle w:val="Compact"/>
              <w:jc w:val="left"/>
            </w:pPr>
            <w:r>
              <w:t xml:space="preserve">1137.3 (4.2)</w:t>
            </w:r>
          </w:p>
        </w:tc>
        <w:tc>
          <w:p>
            <w:pPr>
              <w:pStyle w:val="Compact"/>
              <w:jc w:val="left"/>
            </w:pPr>
            <w:r>
              <w:t xml:space="preserve">327.8 (5.5)</w:t>
            </w:r>
          </w:p>
        </w:tc>
      </w:tr>
      <w:tr>
        <w:tc>
          <w:p>
            <w:pPr>
              <w:pStyle w:val="Compact"/>
              <w:jc w:val="left"/>
            </w:pPr>
            <w:r>
              <w:t xml:space="preserve">ISS (median [IQR])</w:t>
            </w:r>
          </w:p>
        </w:tc>
        <w:tc>
          <w:p>
            <w:pPr>
              <w:pStyle w:val="Compact"/>
            </w:pPr>
          </w:p>
        </w:tc>
        <w:tc>
          <w:p>
            <w:pPr>
              <w:pStyle w:val="Compact"/>
              <w:jc w:val="left"/>
            </w:pPr>
            <w:r>
              <w:t xml:space="preserve">4.0 [1.0, 9.0]</w:t>
            </w:r>
          </w:p>
        </w:tc>
        <w:tc>
          <w:p>
            <w:pPr>
              <w:pStyle w:val="Compact"/>
              <w:jc w:val="left"/>
            </w:pPr>
            <w:r>
              <w:t xml:space="preserve">5.0 [1.0, 14.0]</w:t>
            </w:r>
          </w:p>
        </w:tc>
      </w:tr>
      <w:tr>
        <w:tc>
          <w:p>
            <w:pPr>
              <w:pStyle w:val="Compact"/>
              <w:jc w:val="left"/>
            </w:pPr>
            <w:r>
              <w:t xml:space="preserve">NISS (median [IQR])</w:t>
            </w:r>
          </w:p>
        </w:tc>
        <w:tc>
          <w:p>
            <w:pPr>
              <w:pStyle w:val="Compact"/>
            </w:pPr>
          </w:p>
        </w:tc>
        <w:tc>
          <w:p>
            <w:pPr>
              <w:pStyle w:val="Compact"/>
              <w:jc w:val="left"/>
            </w:pPr>
            <w:r>
              <w:t xml:space="preserve">4.0 [1.0, 12.0]</w:t>
            </w:r>
          </w:p>
        </w:tc>
        <w:tc>
          <w:p>
            <w:pPr>
              <w:pStyle w:val="Compact"/>
              <w:jc w:val="left"/>
            </w:pPr>
            <w:r>
              <w:t xml:space="preserve">9.0 [3.0, 22.0]</w:t>
            </w:r>
          </w:p>
        </w:tc>
      </w:tr>
      <w:tr>
        <w:tc>
          <w:p>
            <w:pPr>
              <w:pStyle w:val="Compact"/>
              <w:jc w:val="left"/>
            </w:pPr>
            <w:r>
              <w:t xml:space="preserve">ISS&gt;15 (%)</w:t>
            </w:r>
          </w:p>
        </w:tc>
        <w:tc>
          <w:p>
            <w:pPr>
              <w:pStyle w:val="Compact"/>
              <w:jc w:val="left"/>
            </w:pPr>
            <w:r>
              <w:t xml:space="preserve">No</w:t>
            </w:r>
          </w:p>
        </w:tc>
        <w:tc>
          <w:p>
            <w:pPr>
              <w:pStyle w:val="Compact"/>
              <w:jc w:val="left"/>
            </w:pPr>
            <w:r>
              <w:t xml:space="preserve">22873.7 (84.8)</w:t>
            </w:r>
          </w:p>
        </w:tc>
        <w:tc>
          <w:p>
            <w:pPr>
              <w:pStyle w:val="Compact"/>
              <w:jc w:val="left"/>
            </w:pPr>
            <w:r>
              <w:t xml:space="preserve">4488.8 (75.4)</w:t>
            </w:r>
          </w:p>
        </w:tc>
      </w:tr>
      <w:tr>
        <w:tc>
          <w:p>
            <w:pPr>
              <w:pStyle w:val="Compact"/>
            </w:pPr>
          </w:p>
        </w:tc>
        <w:tc>
          <w:p>
            <w:pPr>
              <w:pStyle w:val="Compact"/>
              <w:jc w:val="left"/>
            </w:pPr>
            <w:r>
              <w:t xml:space="preserve">Yes</w:t>
            </w:r>
          </w:p>
        </w:tc>
        <w:tc>
          <w:p>
            <w:pPr>
              <w:pStyle w:val="Compact"/>
              <w:jc w:val="left"/>
            </w:pPr>
            <w:r>
              <w:t xml:space="preserve">4091.3 (15.2)</w:t>
            </w:r>
          </w:p>
        </w:tc>
        <w:tc>
          <w:p>
            <w:pPr>
              <w:pStyle w:val="Compact"/>
              <w:jc w:val="left"/>
            </w:pPr>
            <w:r>
              <w:t xml:space="preserve">1467.2 (24.6)</w:t>
            </w:r>
          </w:p>
        </w:tc>
      </w:tr>
    </w:tbl>
    <w:p>
      <w:pPr>
        <w:pStyle w:val="Brdtext"/>
      </w:pPr>
      <w:r>
        <w:t xml:space="preserve">GCS, Glasgow coma scale; SBP, systolic blood pressure; RR, respiratory rate; ISS, injury severity score; NISS, new injury severity score</w:t>
      </w:r>
    </w:p>
    <w:p>
      <w:pPr>
        <w:pStyle w:val="Rubrik2"/>
      </w:pPr>
      <w:bookmarkStart w:id="49" w:name="development-and-validation"/>
      <w:r>
        <w:t xml:space="preserve">Development and validation</w:t>
      </w:r>
      <w:bookmarkEnd w:id="49"/>
    </w:p>
    <w:p>
      <w:pPr>
        <w:pStyle w:val="FirstParagraph"/>
      </w:pPr>
      <w:r>
        <w:t xml:space="preserve">During model development, the number of imputations used for each data set was</w:t>
      </w:r>
      <w:r>
        <w:t xml:space="preserve"> </w:t>
      </w:r>
      <w:r>
        <w:t xml:space="preserve">43, 48 and 37 for the high- and</w:t>
      </w:r>
      <w:r>
        <w:t xml:space="preserve"> </w:t>
      </w:r>
      <w:r>
        <w:t xml:space="preserve">low-volume data set, the metropolitan and non-metropolitan data set, and the</w:t>
      </w:r>
      <w:r>
        <w:t xml:space="preserve"> </w:t>
      </w:r>
      <w:r>
        <w:t xml:space="preserve">multiple and single centre data set, respectively.</w:t>
      </w:r>
    </w:p>
    <w:p>
      <w:pPr>
        <w:pStyle w:val="Brdtext"/>
      </w:pPr>
      <w:r>
        <w:t xml:space="preserve">Table 2 shows the model validation performance. The model with the lowest validation</w:t>
      </w:r>
      <w:r>
        <w:t xml:space="preserve"> </w:t>
      </w:r>
      <w:r>
        <w:t xml:space="preserve">mistriage rate was the non-metropolitan model, with a median</w:t>
      </w:r>
      <w:r>
        <w:t xml:space="preserve"> </w:t>
      </w:r>
      <w:r>
        <w:t xml:space="preserve">mistriage rate of 0.18 (0.18 - 0.44). The performance in terms of</w:t>
      </w:r>
      <w:r>
        <w:t xml:space="preserve"> </w:t>
      </w:r>
      <w:r>
        <w:t xml:space="preserve">undertriage and overtriage rate for the same model was 0.05 (0.04 - 0.07) and</w:t>
      </w:r>
      <w:r>
        <w:t xml:space="preserve"> </w:t>
      </w:r>
      <w:r>
        <w:t xml:space="preserve">0.12 (0.11 - 0.40), respectively. The highest validation mistriage rate (i.e. worst</w:t>
      </w:r>
      <w:r>
        <w:t xml:space="preserve"> </w:t>
      </w:r>
      <w:r>
        <w:t xml:space="preserve">validation performance) was found in the low-volume sample, with</w:t>
      </w:r>
      <w:r>
        <w:t xml:space="preserve"> </w:t>
      </w:r>
      <w:r>
        <w:t xml:space="preserve">a model median mistriage rate of 0.64 (0.47 - 0.73).</w:t>
      </w:r>
    </w:p>
    <w:p>
      <w:pPr>
        <w:pStyle w:val="Brdtext"/>
      </w:pPr>
      <w:r>
        <w:rPr>
          <w:b/>
        </w:rPr>
        <w:t xml:space="preserve">Table 2. Model validation performance, i.e. performance when applied to the validation subsample of the sample in which the model was created.</w:t>
      </w:r>
      <w:r>
        <w:t xml:space="preserve"> </w:t>
      </w:r>
      <w:r>
        <w:t xml:space="preserve">Data are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High-volume</w:t>
            </w:r>
          </w:p>
        </w:tc>
        <w:tc>
          <w:tcPr>
            <w:tcBorders>
              <w:bottom w:val="single"/>
            </w:tcBorders>
            <w:vAlign w:val="bottom"/>
          </w:tcPr>
          <w:p>
            <w:pPr>
              <w:pStyle w:val="Compact"/>
              <w:jc w:val="left"/>
            </w:pPr>
            <w:r>
              <w:t xml:space="preserve">Low-volume</w:t>
            </w:r>
          </w:p>
        </w:tc>
      </w:tr>
      <w:tr>
        <w:tc>
          <w:p>
            <w:pPr>
              <w:pStyle w:val="Compact"/>
              <w:jc w:val="left"/>
            </w:pPr>
            <w:r>
              <w:t xml:space="preserve">Mistriage</w:t>
            </w:r>
          </w:p>
        </w:tc>
        <w:tc>
          <w:p>
            <w:pPr>
              <w:pStyle w:val="Compact"/>
              <w:jc w:val="left"/>
            </w:pPr>
            <w:r>
              <w:t xml:space="preserve">0.23 (0.15 - 0.39)</w:t>
            </w:r>
          </w:p>
        </w:tc>
        <w:tc>
          <w:p>
            <w:pPr>
              <w:pStyle w:val="Compact"/>
              <w:jc w:val="left"/>
            </w:pPr>
            <w:r>
              <w:t xml:space="preserve">0.64 (0.47 - 0.73)</w:t>
            </w:r>
          </w:p>
        </w:tc>
      </w:tr>
      <w:tr>
        <w:tc>
          <w:p>
            <w:pPr>
              <w:pStyle w:val="Compact"/>
              <w:jc w:val="left"/>
            </w:pPr>
            <w:r>
              <w:t xml:space="preserve">Undertriage</w:t>
            </w:r>
          </w:p>
        </w:tc>
        <w:tc>
          <w:p>
            <w:pPr>
              <w:pStyle w:val="Compact"/>
              <w:jc w:val="left"/>
            </w:pPr>
            <w:r>
              <w:t xml:space="preserve">0.05 (0.04 - 0.06)</w:t>
            </w:r>
          </w:p>
        </w:tc>
        <w:tc>
          <w:p>
            <w:pPr>
              <w:pStyle w:val="Compact"/>
              <w:jc w:val="left"/>
            </w:pPr>
            <w:r>
              <w:t xml:space="preserve">0.03 (0.02 - 0.04)</w:t>
            </w:r>
          </w:p>
        </w:tc>
      </w:tr>
      <w:tr>
        <w:tc>
          <w:p>
            <w:pPr>
              <w:pStyle w:val="Compact"/>
              <w:jc w:val="left"/>
            </w:pPr>
            <w:r>
              <w:t xml:space="preserve">Overtriage</w:t>
            </w:r>
          </w:p>
        </w:tc>
        <w:tc>
          <w:p>
            <w:pPr>
              <w:pStyle w:val="Compact"/>
              <w:jc w:val="left"/>
            </w:pPr>
            <w:r>
              <w:t xml:space="preserve">0.17 (0.09 - 0.35)</w:t>
            </w:r>
          </w:p>
        </w:tc>
        <w:tc>
          <w:p>
            <w:pPr>
              <w:pStyle w:val="Compact"/>
              <w:jc w:val="left"/>
            </w:pPr>
            <w:r>
              <w:t xml:space="preserve">0.60 (0.43 - 0.71)</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Mistriage</w:t>
            </w:r>
          </w:p>
        </w:tc>
        <w:tc>
          <w:p>
            <w:pPr>
              <w:pStyle w:val="Compact"/>
              <w:jc w:val="left"/>
            </w:pPr>
            <w:r>
              <w:t xml:space="preserve">0.35 (0.25 - 0.48)</w:t>
            </w:r>
          </w:p>
        </w:tc>
        <w:tc>
          <w:p>
            <w:pPr>
              <w:pStyle w:val="Compact"/>
              <w:jc w:val="left"/>
            </w:pPr>
            <w:r>
              <w:t xml:space="preserve">0.18 (0.18 - 0.44)</w:t>
            </w:r>
          </w:p>
        </w:tc>
      </w:tr>
      <w:tr>
        <w:tc>
          <w:p>
            <w:pPr>
              <w:pStyle w:val="Compact"/>
              <w:jc w:val="left"/>
            </w:pPr>
            <w:r>
              <w:t xml:space="preserve">Undertriage</w:t>
            </w:r>
          </w:p>
        </w:tc>
        <w:tc>
          <w:p>
            <w:pPr>
              <w:pStyle w:val="Compact"/>
              <w:jc w:val="left"/>
            </w:pPr>
            <w:r>
              <w:t xml:space="preserve">0.05 (0.04 - 0.07)</w:t>
            </w:r>
          </w:p>
        </w:tc>
        <w:tc>
          <w:p>
            <w:pPr>
              <w:pStyle w:val="Compact"/>
              <w:jc w:val="left"/>
            </w:pPr>
            <w:r>
              <w:t xml:space="preserve">0.05 (0.04 - 0.07)</w:t>
            </w:r>
          </w:p>
        </w:tc>
      </w:tr>
      <w:tr>
        <w:tc>
          <w:p>
            <w:pPr>
              <w:pStyle w:val="Compact"/>
              <w:jc w:val="left"/>
            </w:pPr>
            <w:r>
              <w:t xml:space="preserve">Overtriage</w:t>
            </w:r>
          </w:p>
        </w:tc>
        <w:tc>
          <w:p>
            <w:pPr>
              <w:pStyle w:val="Compact"/>
              <w:jc w:val="left"/>
            </w:pPr>
            <w:r>
              <w:t xml:space="preserve">0.30 (0.18 - 0.43)</w:t>
            </w:r>
          </w:p>
        </w:tc>
        <w:tc>
          <w:p>
            <w:pPr>
              <w:pStyle w:val="Compact"/>
              <w:jc w:val="left"/>
            </w:pPr>
            <w:r>
              <w:t xml:space="preserve">0.12 (0.11 - 0.40)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0.28 (0.14 - 0.44)</w:t>
            </w:r>
          </w:p>
        </w:tc>
        <w:tc>
          <w:p>
            <w:pPr>
              <w:pStyle w:val="Compact"/>
              <w:jc w:val="left"/>
            </w:pPr>
            <w:r>
              <w:t xml:space="preserve">0.56 (0.40 - 0.62)</w:t>
            </w:r>
          </w:p>
        </w:tc>
      </w:tr>
      <w:tr>
        <w:tc>
          <w:p>
            <w:pPr>
              <w:pStyle w:val="Compact"/>
              <w:jc w:val="left"/>
            </w:pPr>
            <w:r>
              <w:t xml:space="preserve">Undertriage</w:t>
            </w:r>
          </w:p>
        </w:tc>
        <w:tc>
          <w:p>
            <w:pPr>
              <w:pStyle w:val="Compact"/>
              <w:jc w:val="left"/>
            </w:pPr>
            <w:r>
              <w:t xml:space="preserve">0.05 (0.03 - 0.06)</w:t>
            </w:r>
          </w:p>
        </w:tc>
        <w:tc>
          <w:p>
            <w:pPr>
              <w:pStyle w:val="Compact"/>
              <w:jc w:val="left"/>
            </w:pPr>
            <w:r>
              <w:t xml:space="preserve">0.04 (0.03 - 0.07)</w:t>
            </w:r>
          </w:p>
        </w:tc>
      </w:tr>
      <w:tr>
        <w:tc>
          <w:p>
            <w:pPr>
              <w:pStyle w:val="Compact"/>
              <w:jc w:val="left"/>
            </w:pPr>
            <w:r>
              <w:t xml:space="preserve">Overtriage</w:t>
            </w:r>
          </w:p>
        </w:tc>
        <w:tc>
          <w:p>
            <w:pPr>
              <w:pStyle w:val="Compact"/>
              <w:jc w:val="left"/>
            </w:pPr>
            <w:r>
              <w:t xml:space="preserve">0.23 (0.08 - 0.41)</w:t>
            </w:r>
          </w:p>
        </w:tc>
        <w:tc>
          <w:p>
            <w:pPr>
              <w:pStyle w:val="Compact"/>
              <w:jc w:val="left"/>
            </w:pPr>
            <w:r>
              <w:t xml:space="preserve">0.52 (0.33 - 0.59)</w:t>
            </w:r>
          </w:p>
        </w:tc>
      </w:tr>
    </w:tbl>
    <w:p>
      <w:pPr>
        <w:pStyle w:val="Rubrik2"/>
      </w:pPr>
      <w:bookmarkStart w:id="50" w:name="comparison"/>
      <w:r>
        <w:t xml:space="preserve">Comparison</w:t>
      </w:r>
      <w:bookmarkEnd w:id="50"/>
    </w:p>
    <w:p>
      <w:pPr>
        <w:pStyle w:val="FirstParagraph"/>
      </w:pPr>
      <w:r>
        <w:t xml:space="preserve">Model performance after transfer was determined for each model after being transferred</w:t>
      </w:r>
      <w:r>
        <w:t xml:space="preserve"> </w:t>
      </w:r>
      <w:r>
        <w:t xml:space="preserve">to the validation subsample in the other sample, in the data set (Table 3). When</w:t>
      </w:r>
      <w:r>
        <w:t xml:space="preserve"> </w:t>
      </w:r>
      <w:r>
        <w:t xml:space="preserve">transferred, the model with the lowest mistriage rate was the non-metropolitan</w:t>
      </w:r>
      <w:r>
        <w:t xml:space="preserve"> </w:t>
      </w:r>
      <w:r>
        <w:t xml:space="preserve">model, with a median mistriage rate of 0.22 (0.24 - 0.42). The model with</w:t>
      </w:r>
      <w:r>
        <w:t xml:space="preserve"> </w:t>
      </w:r>
      <w:r>
        <w:t xml:space="preserve">the highest mistriage rate after transfer was the low-volume model</w:t>
      </w:r>
      <w:r>
        <w:t xml:space="preserve"> </w:t>
      </w:r>
      <w:r>
        <w:t xml:space="preserve">with a median mistriage rate of 0.67 (0.46 - 0.79).</w:t>
      </w:r>
    </w:p>
    <w:p>
      <w:pPr>
        <w:pStyle w:val="Brdtext"/>
      </w:pPr>
      <w:r>
        <w:rPr>
          <w:b/>
        </w:rPr>
        <w:t xml:space="preserve">Table 3. Model transfer performance, i.e. performance when transferred to the other validation subsample in the same data set.</w:t>
      </w:r>
      <w:r>
        <w:t xml:space="preserve"> </w:t>
      </w:r>
      <w:r>
        <w:t xml:space="preserve">Data are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High-volume</w:t>
            </w:r>
          </w:p>
        </w:tc>
        <w:tc>
          <w:tcPr>
            <w:tcBorders>
              <w:bottom w:val="single"/>
            </w:tcBorders>
            <w:vAlign w:val="bottom"/>
          </w:tcPr>
          <w:p>
            <w:pPr>
              <w:pStyle w:val="Compact"/>
              <w:jc w:val="left"/>
            </w:pPr>
            <w:r>
              <w:t xml:space="preserve">Low-volume</w:t>
            </w:r>
          </w:p>
        </w:tc>
      </w:tr>
      <w:tr>
        <w:tc>
          <w:p>
            <w:pPr>
              <w:pStyle w:val="Compact"/>
              <w:jc w:val="left"/>
            </w:pPr>
            <w:r>
              <w:t xml:space="preserve">Mistriage</w:t>
            </w:r>
          </w:p>
        </w:tc>
        <w:tc>
          <w:p>
            <w:pPr>
              <w:pStyle w:val="Compact"/>
              <w:jc w:val="left"/>
            </w:pPr>
            <w:r>
              <w:t xml:space="preserve">0.27 (0.20 - 0.41)</w:t>
            </w:r>
          </w:p>
        </w:tc>
        <w:tc>
          <w:p>
            <w:pPr>
              <w:pStyle w:val="Compact"/>
              <w:jc w:val="left"/>
            </w:pPr>
            <w:r>
              <w:t xml:space="preserve">0.67 (0.46 - 0.79)</w:t>
            </w:r>
          </w:p>
        </w:tc>
      </w:tr>
      <w:tr>
        <w:tc>
          <w:p>
            <w:pPr>
              <w:pStyle w:val="Compact"/>
              <w:jc w:val="left"/>
            </w:pPr>
            <w:r>
              <w:t xml:space="preserve">Undertriage</w:t>
            </w:r>
          </w:p>
        </w:tc>
        <w:tc>
          <w:p>
            <w:pPr>
              <w:pStyle w:val="Compact"/>
              <w:jc w:val="left"/>
            </w:pPr>
            <w:r>
              <w:t xml:space="preserve">0.06 (0.04 - 0.08)</w:t>
            </w:r>
          </w:p>
        </w:tc>
        <w:tc>
          <w:p>
            <w:pPr>
              <w:pStyle w:val="Compact"/>
              <w:jc w:val="left"/>
            </w:pPr>
            <w:r>
              <w:t xml:space="preserve">0.02 (0.01 - 0.03)</w:t>
            </w:r>
          </w:p>
        </w:tc>
      </w:tr>
      <w:tr>
        <w:tc>
          <w:p>
            <w:pPr>
              <w:pStyle w:val="Compact"/>
              <w:jc w:val="left"/>
            </w:pPr>
            <w:r>
              <w:t xml:space="preserve">Overtriage</w:t>
            </w:r>
          </w:p>
        </w:tc>
        <w:tc>
          <w:p>
            <w:pPr>
              <w:pStyle w:val="Compact"/>
              <w:jc w:val="left"/>
            </w:pPr>
            <w:r>
              <w:t xml:space="preserve">0.21 (0.12 - 0.36)</w:t>
            </w:r>
          </w:p>
        </w:tc>
        <w:tc>
          <w:p>
            <w:pPr>
              <w:pStyle w:val="Compact"/>
              <w:jc w:val="left"/>
            </w:pPr>
            <w:r>
              <w:t xml:space="preserve">0.65 (0.43 - 0.77)</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Mistriage</w:t>
            </w:r>
          </w:p>
        </w:tc>
        <w:tc>
          <w:p>
            <w:pPr>
              <w:pStyle w:val="Compact"/>
              <w:jc w:val="left"/>
            </w:pPr>
            <w:r>
              <w:t xml:space="preserve">0.38 (0.22 - 0.52)</w:t>
            </w:r>
          </w:p>
        </w:tc>
        <w:tc>
          <w:p>
            <w:pPr>
              <w:pStyle w:val="Compact"/>
              <w:jc w:val="left"/>
            </w:pPr>
            <w:r>
              <w:t xml:space="preserve">0.22 (0.24 - 0.42)</w:t>
            </w:r>
          </w:p>
        </w:tc>
      </w:tr>
      <w:tr>
        <w:tc>
          <w:p>
            <w:pPr>
              <w:pStyle w:val="Compact"/>
              <w:jc w:val="left"/>
            </w:pPr>
            <w:r>
              <w:t xml:space="preserve">Undertriage</w:t>
            </w:r>
          </w:p>
        </w:tc>
        <w:tc>
          <w:p>
            <w:pPr>
              <w:pStyle w:val="Compact"/>
              <w:jc w:val="left"/>
            </w:pPr>
            <w:r>
              <w:t xml:space="preserve">0.04 (0.03 - 0.05)</w:t>
            </w:r>
          </w:p>
        </w:tc>
        <w:tc>
          <w:p>
            <w:pPr>
              <w:pStyle w:val="Compact"/>
              <w:jc w:val="left"/>
            </w:pPr>
            <w:r>
              <w:t xml:space="preserve">0.07 (0.06 - 0.11)</w:t>
            </w:r>
          </w:p>
        </w:tc>
      </w:tr>
      <w:tr>
        <w:tc>
          <w:p>
            <w:pPr>
              <w:pStyle w:val="Compact"/>
              <w:jc w:val="left"/>
            </w:pPr>
            <w:r>
              <w:t xml:space="preserve">Overtriage</w:t>
            </w:r>
          </w:p>
        </w:tc>
        <w:tc>
          <w:p>
            <w:pPr>
              <w:pStyle w:val="Compact"/>
              <w:jc w:val="left"/>
            </w:pPr>
            <w:r>
              <w:t xml:space="preserve">0.34 (0.17 - 0.50)</w:t>
            </w:r>
          </w:p>
        </w:tc>
        <w:tc>
          <w:p>
            <w:pPr>
              <w:pStyle w:val="Compact"/>
              <w:jc w:val="left"/>
            </w:pPr>
            <w:r>
              <w:t xml:space="preserve">0.15 (0.14 - 0.35)</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0.30 (0.19 - 0.40)</w:t>
            </w:r>
          </w:p>
        </w:tc>
        <w:tc>
          <w:p>
            <w:pPr>
              <w:pStyle w:val="Compact"/>
              <w:jc w:val="left"/>
            </w:pPr>
            <w:r>
              <w:t xml:space="preserve">0.62 (0.40 - 0.69)</w:t>
            </w:r>
          </w:p>
        </w:tc>
      </w:tr>
      <w:tr>
        <w:tc>
          <w:p>
            <w:pPr>
              <w:pStyle w:val="Compact"/>
              <w:jc w:val="left"/>
            </w:pPr>
            <w:r>
              <w:t xml:space="preserve">Undertriage</w:t>
            </w:r>
          </w:p>
        </w:tc>
        <w:tc>
          <w:p>
            <w:pPr>
              <w:pStyle w:val="Compact"/>
              <w:jc w:val="left"/>
            </w:pPr>
            <w:r>
              <w:t xml:space="preserve">0.08 (0.05 - 0.09)</w:t>
            </w:r>
          </w:p>
        </w:tc>
        <w:tc>
          <w:p>
            <w:pPr>
              <w:pStyle w:val="Compact"/>
              <w:jc w:val="left"/>
            </w:pPr>
            <w:r>
              <w:t xml:space="preserve">0.02 (0.02 - 0.04)</w:t>
            </w:r>
          </w:p>
        </w:tc>
      </w:tr>
      <w:tr>
        <w:tc>
          <w:p>
            <w:pPr>
              <w:pStyle w:val="Compact"/>
              <w:jc w:val="left"/>
            </w:pPr>
            <w:r>
              <w:t xml:space="preserve">Overtriage</w:t>
            </w:r>
          </w:p>
        </w:tc>
        <w:tc>
          <w:p>
            <w:pPr>
              <w:pStyle w:val="Compact"/>
              <w:jc w:val="left"/>
            </w:pPr>
            <w:r>
              <w:t xml:space="preserve">0.22 (0.11 - 0.35)</w:t>
            </w:r>
          </w:p>
        </w:tc>
        <w:tc>
          <w:p>
            <w:pPr>
              <w:pStyle w:val="Compact"/>
              <w:jc w:val="left"/>
            </w:pPr>
            <w:r>
              <w:t xml:space="preserve">0.60 (0.37 - 0.67)</w:t>
            </w:r>
          </w:p>
        </w:tc>
      </w:tr>
    </w:tbl>
    <w:p>
      <w:pPr>
        <w:pStyle w:val="Brdtext"/>
      </w:pPr>
      <w:r>
        <w:t xml:space="preserve">Table 4 shows the transferred model performance when compared to the validation</w:t>
      </w:r>
      <w:r>
        <w:t xml:space="preserve"> </w:t>
      </w:r>
      <w:r>
        <w:t xml:space="preserve">performance in the validation subsample receiving the transferred model.</w:t>
      </w:r>
      <w:r>
        <w:t xml:space="preserve"> </w:t>
      </w:r>
      <w:r>
        <w:t xml:space="preserve">The highest mistriage rate when compared to the receiving sample validation</w:t>
      </w:r>
      <w:r>
        <w:t xml:space="preserve"> </w:t>
      </w:r>
      <w:r>
        <w:t xml:space="preserve">model performance was found in the low-volume model,</w:t>
      </w:r>
      <w:r>
        <w:t xml:space="preserve"> </w:t>
      </w:r>
      <w:r>
        <w:t xml:space="preserve">with a median mistriage rate difference of 0.44 (0.17 - 0.60), meaning</w:t>
      </w:r>
      <w:r>
        <w:t xml:space="preserve"> </w:t>
      </w:r>
      <w:r>
        <w:t xml:space="preserve">this model performed worse when transferred to the other sample in the same data</w:t>
      </w:r>
      <w:r>
        <w:t xml:space="preserve"> </w:t>
      </w:r>
      <w:r>
        <w:t xml:space="preserve">set. In clinical terms, this model transfer means that among 100 trauma</w:t>
      </w:r>
      <w:r>
        <w:t xml:space="preserve"> </w:t>
      </w:r>
      <w:r>
        <w:t xml:space="preserve">patients, 44</w:t>
      </w:r>
      <w:r>
        <w:t xml:space="preserve"> </w:t>
      </w:r>
      <w:r>
        <w:t xml:space="preserve">more patients would be wrongly classified as having major or minor trauma.</w:t>
      </w:r>
    </w:p>
    <w:p>
      <w:pPr>
        <w:pStyle w:val="Brdtext"/>
      </w:pPr>
      <w:r>
        <w:rPr>
          <w:b/>
        </w:rPr>
        <w:t xml:space="preserve">Table 4. Comparison mistriage, i.e. sample validation performance subtracted from transferred performance.</w:t>
      </w:r>
      <w:r>
        <w:t xml:space="preserve"> </w:t>
      </w:r>
      <w:r>
        <w:t xml:space="preserve">Data are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High-volume</w:t>
            </w:r>
          </w:p>
        </w:tc>
        <w:tc>
          <w:tcPr>
            <w:tcBorders>
              <w:bottom w:val="single"/>
            </w:tcBorders>
            <w:vAlign w:val="bottom"/>
          </w:tcPr>
          <w:p>
            <w:pPr>
              <w:pStyle w:val="Compact"/>
              <w:jc w:val="left"/>
            </w:pPr>
            <w:r>
              <w:t xml:space="preserve">Low-volume</w:t>
            </w:r>
          </w:p>
        </w:tc>
      </w:tr>
      <w:tr>
        <w:tc>
          <w:p>
            <w:pPr>
              <w:pStyle w:val="Compact"/>
              <w:jc w:val="left"/>
            </w:pPr>
            <w:r>
              <w:t xml:space="preserve">Mistriage</w:t>
            </w:r>
          </w:p>
        </w:tc>
        <w:tc>
          <w:p>
            <w:pPr>
              <w:pStyle w:val="Compact"/>
              <w:jc w:val="left"/>
            </w:pPr>
            <w:r>
              <w:t xml:space="preserve">-0.36 (-0.50 - -0.14)</w:t>
            </w:r>
          </w:p>
        </w:tc>
        <w:tc>
          <w:p>
            <w:pPr>
              <w:pStyle w:val="Compact"/>
              <w:jc w:val="left"/>
            </w:pPr>
            <w:r>
              <w:t xml:space="preserve">0.44 (0.17 - 0.60)</w:t>
            </w:r>
          </w:p>
        </w:tc>
      </w:tr>
      <w:tr>
        <w:tc>
          <w:p>
            <w:pPr>
              <w:pStyle w:val="Compact"/>
              <w:jc w:val="left"/>
            </w:pPr>
            <w:r>
              <w:t xml:space="preserve">Undertriage</w:t>
            </w:r>
          </w:p>
        </w:tc>
        <w:tc>
          <w:p>
            <w:pPr>
              <w:pStyle w:val="Compact"/>
              <w:jc w:val="left"/>
            </w:pPr>
            <w:r>
              <w:t xml:space="preserve">0.03 (0.01 - 0.05)</w:t>
            </w:r>
          </w:p>
        </w:tc>
        <w:tc>
          <w:p>
            <w:pPr>
              <w:pStyle w:val="Compact"/>
              <w:jc w:val="left"/>
            </w:pPr>
            <w:r>
              <w:t xml:space="preserve">-0.03 (-0.05 - -0.01)</w:t>
            </w:r>
          </w:p>
        </w:tc>
      </w:tr>
      <w:tr>
        <w:tc>
          <w:p>
            <w:pPr>
              <w:pStyle w:val="Compact"/>
              <w:jc w:val="left"/>
            </w:pPr>
            <w:r>
              <w:t xml:space="preserve">Overtriage</w:t>
            </w:r>
          </w:p>
        </w:tc>
        <w:tc>
          <w:p>
            <w:pPr>
              <w:pStyle w:val="Compact"/>
              <w:jc w:val="left"/>
            </w:pPr>
            <w:r>
              <w:t xml:space="preserve">-0.38 (-0.54 - -0.16)</w:t>
            </w:r>
          </w:p>
        </w:tc>
        <w:tc>
          <w:p>
            <w:pPr>
              <w:pStyle w:val="Compact"/>
              <w:jc w:val="left"/>
            </w:pPr>
            <w:r>
              <w:t xml:space="preserve">0.47 (0.18 - 0.64)</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Mistriage</w:t>
            </w:r>
          </w:p>
        </w:tc>
        <w:tc>
          <w:p>
            <w:pPr>
              <w:pStyle w:val="Compact"/>
              <w:jc w:val="left"/>
            </w:pPr>
            <w:r>
              <w:t xml:space="preserve">0.21 (-0.11 - 0.35)</w:t>
            </w:r>
          </w:p>
        </w:tc>
        <w:tc>
          <w:p>
            <w:pPr>
              <w:pStyle w:val="Compact"/>
              <w:jc w:val="left"/>
            </w:pPr>
            <w:r>
              <w:t xml:space="preserve">-0.13 (-0.34 - -0.07)</w:t>
            </w:r>
          </w:p>
        </w:tc>
      </w:tr>
      <w:tr>
        <w:tc>
          <w:p>
            <w:pPr>
              <w:pStyle w:val="Compact"/>
              <w:jc w:val="left"/>
            </w:pPr>
            <w:r>
              <w:t xml:space="preserve">Undertriage</w:t>
            </w:r>
          </w:p>
        </w:tc>
        <w:tc>
          <w:p>
            <w:pPr>
              <w:pStyle w:val="Compact"/>
              <w:jc w:val="left"/>
            </w:pPr>
            <w:r>
              <w:t xml:space="preserve">-0.01 (-0.03 - 0.01)</w:t>
            </w:r>
          </w:p>
        </w:tc>
        <w:tc>
          <w:p>
            <w:pPr>
              <w:pStyle w:val="Compact"/>
              <w:jc w:val="left"/>
            </w:pPr>
            <w:r>
              <w:t xml:space="preserve">0.02 (0.01 - 0.06)</w:t>
            </w:r>
          </w:p>
        </w:tc>
      </w:tr>
      <w:tr>
        <w:tc>
          <w:p>
            <w:pPr>
              <w:pStyle w:val="Compact"/>
              <w:jc w:val="left"/>
            </w:pPr>
            <w:r>
              <w:t xml:space="preserve">Overtriage</w:t>
            </w:r>
          </w:p>
        </w:tc>
        <w:tc>
          <w:p>
            <w:pPr>
              <w:pStyle w:val="Compact"/>
              <w:jc w:val="left"/>
            </w:pPr>
            <w:r>
              <w:t xml:space="preserve">0.22 (-0.12 - 0.37)</w:t>
            </w:r>
          </w:p>
        </w:tc>
        <w:tc>
          <w:p>
            <w:pPr>
              <w:pStyle w:val="Compact"/>
              <w:jc w:val="left"/>
            </w:pPr>
            <w:r>
              <w:t xml:space="preserve">-0.15 (-0.40 - -0.09)</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-0.24 (-0.24 - 0.08)</w:t>
            </w:r>
          </w:p>
        </w:tc>
        <w:tc>
          <w:p>
            <w:pPr>
              <w:pStyle w:val="Compact"/>
              <w:jc w:val="left"/>
            </w:pPr>
            <w:r>
              <w:t xml:space="preserve">0.32 (0.10 - 0.45)</w:t>
            </w:r>
          </w:p>
        </w:tc>
      </w:tr>
      <w:tr>
        <w:tc>
          <w:p>
            <w:pPr>
              <w:pStyle w:val="Compact"/>
              <w:jc w:val="left"/>
            </w:pPr>
            <w:r>
              <w:t xml:space="preserve">Undertriage</w:t>
            </w:r>
          </w:p>
        </w:tc>
        <w:tc>
          <w:p>
            <w:pPr>
              <w:pStyle w:val="Compact"/>
              <w:jc w:val="left"/>
            </w:pPr>
            <w:r>
              <w:t xml:space="preserve">0.04 (-0.01 - 0.04)</w:t>
            </w:r>
          </w:p>
        </w:tc>
        <w:tc>
          <w:p>
            <w:pPr>
              <w:pStyle w:val="Compact"/>
              <w:jc w:val="left"/>
            </w:pPr>
            <w:r>
              <w:t xml:space="preserve">-0.03 (-0.04 - -0.01)</w:t>
            </w:r>
          </w:p>
        </w:tc>
      </w:tr>
      <w:tr>
        <w:tc>
          <w:p>
            <w:pPr>
              <w:pStyle w:val="Compact"/>
              <w:jc w:val="left"/>
            </w:pPr>
            <w:r>
              <w:t xml:space="preserve">Overtriage</w:t>
            </w:r>
          </w:p>
        </w:tc>
        <w:tc>
          <w:p>
            <w:pPr>
              <w:pStyle w:val="Compact"/>
              <w:jc w:val="left"/>
            </w:pPr>
            <w:r>
              <w:t xml:space="preserve">-0.28 (-0.27 - 0.09)</w:t>
            </w:r>
          </w:p>
        </w:tc>
        <w:tc>
          <w:p>
            <w:pPr>
              <w:pStyle w:val="Compact"/>
              <w:jc w:val="left"/>
            </w:pPr>
            <w:r>
              <w:t xml:space="preserve">0.35 (0.12 - 0.49)</w:t>
            </w:r>
          </w:p>
        </w:tc>
      </w:tr>
    </w:tbl>
    <w:p>
      <w:pPr>
        <w:pStyle w:val="Rubrik1"/>
      </w:pPr>
      <w:bookmarkStart w:id="51" w:name="discussion"/>
      <w:r>
        <w:t xml:space="preserve">Discussion</w:t>
      </w:r>
      <w:bookmarkEnd w:id="51"/>
    </w:p>
    <w:p>
      <w:pPr>
        <w:pStyle w:val="FirstParagraph"/>
      </w:pPr>
      <w:r>
        <w:t xml:space="preserve">This study aimed to assess how transfers of clinical prediction models for early</w:t>
      </w:r>
      <w:r>
        <w:t xml:space="preserve"> </w:t>
      </w:r>
      <w:r>
        <w:t xml:space="preserve">trauma care between different contexts within a single health system affect</w:t>
      </w:r>
      <w:r>
        <w:t xml:space="preserve"> </w:t>
      </w:r>
      <w:r>
        <w:t xml:space="preserve">mistriage rates. Varying degrees of uncertainty were observed when comparing</w:t>
      </w:r>
      <w:r>
        <w:t xml:space="preserve"> </w:t>
      </w:r>
      <w:r>
        <w:t xml:space="preserve">the transferred performance to the receiving sample validation performance.</w:t>
      </w:r>
    </w:p>
    <w:p>
      <w:pPr>
        <w:pStyle w:val="Brdtext"/>
      </w:pPr>
      <w:r>
        <w:t xml:space="preserve">The most notable effect on model performance following model transfer was observed</w:t>
      </w:r>
      <w:r>
        <w:t xml:space="preserve"> </w:t>
      </w:r>
      <w:r>
        <w:t xml:space="preserve">after transferring the low-volume model. This transfer</w:t>
      </w:r>
      <w:r>
        <w:t xml:space="preserve"> </w:t>
      </w:r>
      <w:r>
        <w:t xml:space="preserve">resulted in an increased mistriage rate of 0.44.</w:t>
      </w:r>
      <w:r>
        <w:t xml:space="preserve"> </w:t>
      </w:r>
      <w:r>
        <w:t xml:space="preserve">Mainly contributing to this was</w:t>
      </w:r>
      <w:r>
        <w:t xml:space="preserve"> </w:t>
      </w:r>
      <w:r>
        <w:t xml:space="preserve">an increase in overtriage. For this transfer, the 95% UI ranged from</w:t>
      </w:r>
      <w:r>
        <w:t xml:space="preserve"> </w:t>
      </w:r>
      <w:r>
        <w:t xml:space="preserve">0.17 to 0.60, indicating a high level of uncertainty.</w:t>
      </w:r>
      <w:r>
        <w:t xml:space="preserve"> </w:t>
      </w:r>
      <w:r>
        <w:t xml:space="preserve">In contrast, the transfer of the high-volume model to the low-volume sample</w:t>
      </w:r>
      <w:r>
        <w:t xml:space="preserve"> </w:t>
      </w:r>
      <w:r>
        <w:t xml:space="preserve">reduced mistriage, primarily due to reduced overtriage.</w:t>
      </w:r>
    </w:p>
    <w:p>
      <w:pPr>
        <w:pStyle w:val="Brdtext"/>
      </w:pPr>
      <w:r>
        <w:t xml:space="preserve">Low-volume centres do by definition receive fewer trauma patients, and therefore</w:t>
      </w:r>
      <w:r>
        <w:t xml:space="preserve"> </w:t>
      </w:r>
      <w:r>
        <w:t xml:space="preserve">less data is available to establish accurate clinical prediction models. It is</w:t>
      </w:r>
      <w:r>
        <w:t xml:space="preserve"> </w:t>
      </w:r>
      <w:r>
        <w:t xml:space="preserve">reasonable to assume this is the reason for the marked increase in mistriage</w:t>
      </w:r>
      <w:r>
        <w:t xml:space="preserve"> </w:t>
      </w:r>
      <w:r>
        <w:t xml:space="preserve">when transferring the low-volume model to the high-volume sample. This also</w:t>
      </w:r>
      <w:r>
        <w:t xml:space="preserve"> </w:t>
      </w:r>
      <w:r>
        <w:t xml:space="preserve">explains why the low-volume model and the single-centre model showed the highest</w:t>
      </w:r>
      <w:r>
        <w:t xml:space="preserve"> </w:t>
      </w:r>
      <w:r>
        <w:t xml:space="preserve">levels of mistriage during model validation (i.e. when applied to the sample in</w:t>
      </w:r>
      <w:r>
        <w:t xml:space="preserve"> </w:t>
      </w:r>
      <w:r>
        <w:t xml:space="preserve">which the model was created). Further confirming this, the transfer of the</w:t>
      </w:r>
      <w:r>
        <w:t xml:space="preserve"> </w:t>
      </w:r>
      <w:r>
        <w:t xml:space="preserve">high-volume model to the low-volume sample reduced mistriage.</w:t>
      </w:r>
    </w:p>
    <w:p>
      <w:pPr>
        <w:pStyle w:val="Brdtext"/>
      </w:pPr>
      <w:r>
        <w:t xml:space="preserve">In a clinical context, this suggests that clinical prediction models for early</w:t>
      </w:r>
      <w:r>
        <w:t xml:space="preserve"> </w:t>
      </w:r>
      <w:r>
        <w:t xml:space="preserve">trauma care should be developed in settings with a high number of trauma patients.</w:t>
      </w:r>
      <w:r>
        <w:t xml:space="preserve"> </w:t>
      </w:r>
      <w:r>
        <w:t xml:space="preserve">These models could then be transferred to settings with less trauma patients, which</w:t>
      </w:r>
      <w:r>
        <w:t xml:space="preserve"> </w:t>
      </w:r>
      <w:r>
        <w:t xml:space="preserve">should then result in a decreased mistriage rate in those settings. In 2018, Granström</w:t>
      </w:r>
      <w:r>
        <w:t xml:space="preserve"> </w:t>
      </w:r>
      <w:r>
        <w:t xml:space="preserve">et al. found that using a criteria-based triage system (i.e. a clinical prediction model)</w:t>
      </w:r>
      <w:r>
        <w:t xml:space="preserve"> </w:t>
      </w:r>
      <w:r>
        <w:t xml:space="preserve">for trauma triage was effective in reducing overtriage without increasing mortality</w:t>
      </w:r>
      <w:r>
        <w:t xml:space="preserve"> </w:t>
      </w:r>
      <w:r>
        <w:t xml:space="preserve">[7]</w:t>
      </w:r>
      <w:r>
        <w:t xml:space="preserve">.</w:t>
      </w:r>
      <w:r>
        <w:t xml:space="preserve"> </w:t>
      </w:r>
      <w:r>
        <w:t xml:space="preserve">Therefore, improving clinical prediction models to reduce mistriage is clinically beneficial,</w:t>
      </w:r>
      <w:r>
        <w:t xml:space="preserve"> </w:t>
      </w:r>
      <w:r>
        <w:t xml:space="preserve">potentially saving lives by minimizing undertriage, and likely saving resources by</w:t>
      </w:r>
      <w:r>
        <w:t xml:space="preserve"> </w:t>
      </w:r>
      <w:r>
        <w:t xml:space="preserve">minimizing overtriage. Possibly, with registries as SweTrau, the analysis of model</w:t>
      </w:r>
      <w:r>
        <w:t xml:space="preserve"> </w:t>
      </w:r>
      <w:r>
        <w:t xml:space="preserve">transfer could be performed continuously to optimize the models currently in use and</w:t>
      </w:r>
      <w:r>
        <w:t xml:space="preserve"> </w:t>
      </w:r>
      <w:r>
        <w:t xml:space="preserve">advise which model transfers might be detrimental (or potentially beneficial).</w:t>
      </w:r>
    </w:p>
    <w:p>
      <w:pPr>
        <w:pStyle w:val="Brdtext"/>
      </w:pPr>
      <w:r>
        <w:t xml:space="preserve">The transfer of clinical prediction models in trauma care has not previously</w:t>
      </w:r>
      <w:r>
        <w:t xml:space="preserve"> </w:t>
      </w:r>
      <w:r>
        <w:t xml:space="preserve">been studied extensively. In 2016, Gerdin et al. found that model transfer</w:t>
      </w:r>
      <w:r>
        <w:t xml:space="preserve"> </w:t>
      </w:r>
      <w:r>
        <w:t xml:space="preserve">adversely affected model performance in terms of calibration but that this could</w:t>
      </w:r>
      <w:r>
        <w:t xml:space="preserve"> </w:t>
      </w:r>
      <w:r>
        <w:t xml:space="preserve">be improved by updating the model</w:t>
      </w:r>
      <w:r>
        <w:t xml:space="preserve"> </w:t>
      </w:r>
      <w:r>
        <w:t xml:space="preserve">[9]</w:t>
      </w:r>
      <w:r>
        <w:t xml:space="preserve">. This study did not examine model</w:t>
      </w:r>
      <w:r>
        <w:t xml:space="preserve"> </w:t>
      </w:r>
      <w:r>
        <w:t xml:space="preserve">performance in terms of calibration, nor were the effects of updating the</w:t>
      </w:r>
      <w:r>
        <w:t xml:space="preserve"> </w:t>
      </w:r>
      <w:r>
        <w:t xml:space="preserve">model explored.</w:t>
      </w:r>
    </w:p>
    <w:p>
      <w:pPr>
        <w:pStyle w:val="Brdtext"/>
      </w:pPr>
      <w:r>
        <w:t xml:space="preserve">External validation - the evaluation of a clinical prediction model in a</w:t>
      </w:r>
      <w:r>
        <w:t xml:space="preserve"> </w:t>
      </w:r>
      <w:r>
        <w:t xml:space="preserve">setting in which it was not originally developed - has been studied more</w:t>
      </w:r>
      <w:r>
        <w:t xml:space="preserve"> </w:t>
      </w:r>
      <w:r>
        <w:t xml:space="preserve">extensively. Studies using simulated clinical prediction models based on</w:t>
      </w:r>
      <w:r>
        <w:t xml:space="preserve"> </w:t>
      </w:r>
      <w:r>
        <w:t xml:space="preserve">different predictors showed a decline in model performance when externally</w:t>
      </w:r>
      <w:r>
        <w:t xml:space="preserve"> </w:t>
      </w:r>
      <w:r>
        <w:t xml:space="preserve">validated</w:t>
      </w:r>
      <w:r>
        <w:t xml:space="preserve"> </w:t>
      </w:r>
      <w:r>
        <w:t xml:space="preserve">[22, 25]</w:t>
      </w:r>
      <w:r>
        <w:t xml:space="preserve">. A study from 2018 examining the external validity of</w:t>
      </w:r>
      <w:r>
        <w:t xml:space="preserve"> </w:t>
      </w:r>
      <w:r>
        <w:t xml:space="preserve">prediction models for coronary artery disease (CAD)</w:t>
      </w:r>
      <w:r>
        <w:t xml:space="preserve"> </w:t>
      </w:r>
      <w:r>
        <w:t xml:space="preserve">[26]</w:t>
      </w:r>
      <w:r>
        <w:t xml:space="preserve"> </w:t>
      </w:r>
      <w:r>
        <w:t xml:space="preserve">showed that the models</w:t>
      </w:r>
      <w:r>
        <w:t xml:space="preserve"> </w:t>
      </w:r>
      <w:r>
        <w:t xml:space="preserve">significantly underestimated the probability of CAD. The combined results of</w:t>
      </w:r>
      <w:r>
        <w:t xml:space="preserve"> </w:t>
      </w:r>
      <w:r>
        <w:t xml:space="preserve">this study, the studies on model transfer and the studies on external validation</w:t>
      </w:r>
      <w:r>
        <w:t xml:space="preserve"> </w:t>
      </w:r>
      <w:r>
        <w:t xml:space="preserve">would suggest indiscriminate model transfers could lead to detrimental clinical</w:t>
      </w:r>
      <w:r>
        <w:t xml:space="preserve"> </w:t>
      </w:r>
      <w:r>
        <w:t xml:space="preserve">consequences, but also that clinically beneficial model transfers could be</w:t>
      </w:r>
      <w:r>
        <w:t xml:space="preserve"> </w:t>
      </w:r>
      <w:r>
        <w:t xml:space="preserve">identified.</w:t>
      </w:r>
    </w:p>
    <w:p>
      <w:pPr>
        <w:pStyle w:val="Rubrik2"/>
      </w:pPr>
      <w:bookmarkStart w:id="52" w:name="strengths-and-limitations"/>
      <w:r>
        <w:t xml:space="preserve">Strengths and limitations</w:t>
      </w:r>
      <w:bookmarkEnd w:id="52"/>
    </w:p>
    <w:p>
      <w:pPr>
        <w:pStyle w:val="Rubrik3"/>
      </w:pPr>
      <w:bookmarkStart w:id="53" w:name="strengths"/>
      <w:r>
        <w:t xml:space="preserve">Strengths</w:t>
      </w:r>
      <w:bookmarkEnd w:id="53"/>
    </w:p>
    <w:p>
      <w:pPr>
        <w:pStyle w:val="FirstParagraph"/>
      </w:pPr>
      <w:r>
        <w:t xml:space="preserve">The study design realistically reflects</w:t>
      </w:r>
      <w:r>
        <w:t xml:space="preserve"> </w:t>
      </w:r>
      <w:r>
        <w:t xml:space="preserve">potential model transfers: clinical prediction models for trauma are usually</w:t>
      </w:r>
      <w:r>
        <w:t xml:space="preserve"> </w:t>
      </w:r>
      <w:r>
        <w:t xml:space="preserve">developed in large metropolitan centres with a high volume of patients and</w:t>
      </w:r>
      <w:r>
        <w:t xml:space="preserve"> </w:t>
      </w:r>
      <w:r>
        <w:t xml:space="preserve">then transferred as clinical recommendations to minor low-volume centres. The</w:t>
      </w:r>
      <w:r>
        <w:t xml:space="preserve"> </w:t>
      </w:r>
      <w:r>
        <w:t xml:space="preserve">results should therefore be of practical importance.</w:t>
      </w:r>
    </w:p>
    <w:p>
      <w:pPr>
        <w:pStyle w:val="Rubrik3"/>
      </w:pPr>
      <w:bookmarkStart w:id="54" w:name="limitations"/>
      <w:r>
        <w:t xml:space="preserve">Limitations</w:t>
      </w:r>
      <w:bookmarkEnd w:id="54"/>
    </w:p>
    <w:p>
      <w:pPr>
        <w:pStyle w:val="FirstParagraph"/>
      </w:pPr>
      <w:r>
        <w:t xml:space="preserve">Originally, all single centres with a valid number of</w:t>
      </w:r>
      <w:r>
        <w:t xml:space="preserve"> </w:t>
      </w:r>
      <w:r>
        <w:t xml:space="preserve">events were to constitute a data set, but only one centre provided a sufficient</w:t>
      </w:r>
      <w:r>
        <w:t xml:space="preserve"> </w:t>
      </w:r>
      <w:r>
        <w:t xml:space="preserve">number of events, leading to the loss of the individual centres data set.</w:t>
      </w:r>
      <w:r>
        <w:t xml:space="preserve"> </w:t>
      </w:r>
      <w:r>
        <w:t xml:space="preserve">This data set could have provided interesting results reflecting realistic</w:t>
      </w:r>
      <w:r>
        <w:t xml:space="preserve"> </w:t>
      </w:r>
      <w:r>
        <w:t xml:space="preserve">situations.</w:t>
      </w:r>
    </w:p>
    <w:p>
      <w:pPr>
        <w:pStyle w:val="Brdtext"/>
      </w:pPr>
      <w:r>
        <w:t xml:space="preserve">This study used GCS, RR and SBP as predictors for 30-day</w:t>
      </w:r>
      <w:r>
        <w:t xml:space="preserve"> </w:t>
      </w:r>
      <w:r>
        <w:t xml:space="preserve">mortality. Additional predictors such as age and mechanism</w:t>
      </w:r>
      <w:r>
        <w:t xml:space="preserve"> </w:t>
      </w:r>
      <w:r>
        <w:t xml:space="preserve">of injury or newer predictors such as the shock index might increase model</w:t>
      </w:r>
      <w:r>
        <w:t xml:space="preserve"> </w:t>
      </w:r>
      <w:r>
        <w:t xml:space="preserve">performance. Furthermore, we used 30-day mortality as an outcome, recognizing</w:t>
      </w:r>
      <w:r>
        <w:t xml:space="preserve"> </w:t>
      </w:r>
      <w:r>
        <w:t xml:space="preserve">that late mortality, time in hospital, functional impairment, and morbidity are</w:t>
      </w:r>
      <w:r>
        <w:t xml:space="preserve"> </w:t>
      </w:r>
      <w:r>
        <w:t xml:space="preserve">also important outcomes in the context of trauma care.</w:t>
      </w:r>
    </w:p>
    <w:p>
      <w:pPr>
        <w:pStyle w:val="Brdtext"/>
      </w:pPr>
      <w:r>
        <w:t xml:space="preserve">The predetermined analysis plan was to be followed in a step-by-step fashion.</w:t>
      </w:r>
      <w:r>
        <w:t xml:space="preserve"> </w:t>
      </w:r>
      <w:r>
        <w:t xml:space="preserve">Programming challenges and late-time code inclusions required a flexible approach</w:t>
      </w:r>
      <w:r>
        <w:t xml:space="preserve"> </w:t>
      </w:r>
      <w:r>
        <w:t xml:space="preserve">to this analysis plan, sometimes with revisions of previous steps. This is not</w:t>
      </w:r>
      <w:r>
        <w:t xml:space="preserve"> </w:t>
      </w:r>
      <w:r>
        <w:t xml:space="preserve">optimal, and efforts were made to not deviate in any major way. Using GitHub,</w:t>
      </w:r>
      <w:r>
        <w:t xml:space="preserve"> </w:t>
      </w:r>
      <w:r>
        <w:t xml:space="preserve">all code was made public for inspection and to ensure reproducibility</w:t>
      </w:r>
      <w:r>
        <w:t xml:space="preserve"> </w:t>
      </w:r>
      <w:r>
        <w:t xml:space="preserve">[10]</w:t>
      </w:r>
      <w:r>
        <w:t xml:space="preserve">.</w:t>
      </w:r>
    </w:p>
    <w:p>
      <w:pPr>
        <w:pStyle w:val="Rubrik2"/>
      </w:pPr>
      <w:bookmarkStart w:id="55" w:name="conclusion"/>
      <w:r>
        <w:t xml:space="preserve">Conclusion</w:t>
      </w:r>
      <w:bookmarkEnd w:id="55"/>
    </w:p>
    <w:p>
      <w:pPr>
        <w:pStyle w:val="FirstParagraph"/>
      </w:pPr>
      <w:r>
        <w:t xml:space="preserve">Model transfer resulted in varying levels of uncertainty in in terms of its effect</w:t>
      </w:r>
      <w:r>
        <w:t xml:space="preserve"> </w:t>
      </w:r>
      <w:r>
        <w:t xml:space="preserve">on mistriage. In general, samples with a high number of patients had the lowest mistriage</w:t>
      </w:r>
      <w:r>
        <w:t xml:space="preserve"> </w:t>
      </w:r>
      <w:r>
        <w:t xml:space="preserve">both during validation and after transfer to the other sample in the data set. The opposite</w:t>
      </w:r>
      <w:r>
        <w:t xml:space="preserve"> </w:t>
      </w:r>
      <w:r>
        <w:t xml:space="preserve">was also true, and the transfer of the low-volume</w:t>
      </w:r>
      <w:r>
        <w:t xml:space="preserve"> </w:t>
      </w:r>
      <w:r>
        <w:t xml:space="preserve">model led to an increased mistriage of 0.44 (0.17 - 0.60), noting that this observation</w:t>
      </w:r>
      <w:r>
        <w:t xml:space="preserve"> </w:t>
      </w:r>
      <w:r>
        <w:t xml:space="preserve">was associated with considerable uncertainty. Recognizing the limitations of this study,</w:t>
      </w:r>
      <w:r>
        <w:t xml:space="preserve"> </w:t>
      </w:r>
      <w:r>
        <w:t xml:space="preserve">the authors believe that further studies are warranted due to the potential economic</w:t>
      </w:r>
      <w:r>
        <w:t xml:space="preserve"> </w:t>
      </w:r>
      <w:r>
        <w:t xml:space="preserve">costs and patient consequences of poor model transfers.</w:t>
      </w:r>
    </w:p>
    <w:p>
      <w:pPr>
        <w:pStyle w:val="Rubrik1"/>
      </w:pPr>
      <w:bookmarkStart w:id="56" w:name="references"/>
      <w:r>
        <w:t xml:space="preserve">References</w:t>
      </w:r>
      <w:bookmarkEnd w:id="56"/>
    </w:p>
    <w:bookmarkStart w:id="83" w:name="refs"/>
    <w:bookmarkStart w:id="57" w:name="ref-RN63"/>
    <w:p>
      <w:pPr>
        <w:pStyle w:val="Litteraturfrteckning"/>
      </w:pPr>
      <w:r>
        <w:t xml:space="preserve">1. Moore EE, Feliciano DV, Mattox KL. Trauma. 8th edition. Book. New York: McGraw-Hill Education; 2017.</w:t>
      </w:r>
    </w:p>
    <w:bookmarkEnd w:id="57"/>
    <w:bookmarkStart w:id="58" w:name="ref-RN999"/>
    <w:p>
      <w:pPr>
        <w:pStyle w:val="Litteraturfrteckning"/>
      </w:pPr>
      <w:r>
        <w:t xml:space="preserve">2. James SL, Abate D, Abate KH, Abay SM, et al. Global, regional, and national incidence, prevalence, and years lived with disability for 354 diseases and injuries for 195 countries and territories, 1990-2017: A systematic analysis for the global burden of disease study 2017. The Lancet. 2018;1789–858.</w:t>
      </w:r>
    </w:p>
    <w:bookmarkEnd w:id="58"/>
    <w:bookmarkStart w:id="59" w:name="ref-RN1"/>
    <w:p>
      <w:pPr>
        <w:pStyle w:val="Litteraturfrteckning"/>
      </w:pPr>
      <w:r>
        <w:t xml:space="preserve">3. Baker T, Gerdin M. The clinical usefulness of prognostic prediction models in critical illness. Eur J Intern Med. 2017;45:37–40.</w:t>
      </w:r>
    </w:p>
    <w:bookmarkEnd w:id="59"/>
    <w:bookmarkStart w:id="60" w:name="ref-RN21"/>
    <w:p>
      <w:pPr>
        <w:pStyle w:val="Litteraturfrteckning"/>
      </w:pPr>
      <w:r>
        <w:t xml:space="preserve">4. Naghavi M, Abajobir AA, Abbafati C, Abbas K, et al. Global, regional, and national age-sex specific mortality for 264 causes of death, 1980-2016: A systematic analysis for the global burden of disease study 2016. The Lancet. 2017;1151–210.</w:t>
      </w:r>
    </w:p>
    <w:bookmarkEnd w:id="60"/>
    <w:bookmarkStart w:id="61" w:name="ref-RN42"/>
    <w:p>
      <w:pPr>
        <w:pStyle w:val="Litteraturfrteckning"/>
      </w:pPr>
      <w:r>
        <w:t xml:space="preserve">5. World Health Organization. Injuries and violence: The facts. Report. World Health Organization; 2014.</w:t>
      </w:r>
    </w:p>
    <w:bookmarkEnd w:id="61"/>
    <w:bookmarkStart w:id="62" w:name="ref-RN43"/>
    <w:p>
      <w:pPr>
        <w:pStyle w:val="Litteraturfrteckning"/>
      </w:pPr>
      <w:r>
        <w:t xml:space="preserve">6. American College of Surgeons. Advanced Trauma Life Support (ATLS). 10th edition. Book. Chicago: The Committee on Trauma; 2018.</w:t>
      </w:r>
    </w:p>
    <w:bookmarkEnd w:id="62"/>
    <w:bookmarkStart w:id="63" w:name="ref-RN44"/>
    <w:p>
      <w:pPr>
        <w:pStyle w:val="Litteraturfrteckning"/>
      </w:pPr>
      <w:r>
        <w:t xml:space="preserve">7. Granstrom A, Strommer L, Schandl A, Ostlund A. A criteria-directed protocol for in-hospital triage of trauma patients. Eur J Emerg Med. 2018;25:25–31.</w:t>
      </w:r>
    </w:p>
    <w:bookmarkEnd w:id="63"/>
    <w:bookmarkStart w:id="64" w:name="ref-RN45"/>
    <w:p>
      <w:pPr>
        <w:pStyle w:val="Litteraturfrteckning"/>
      </w:pPr>
      <w:r>
        <w:t xml:space="preserve">8. Rehn M, Perel P, Blackhall K, Lossius HM. Prognostic models for the early care of trauma patients: A systematic review. Scand J Trauma Resusc Emerg Med. 2011;19:17.</w:t>
      </w:r>
    </w:p>
    <w:bookmarkEnd w:id="64"/>
    <w:bookmarkStart w:id="65" w:name="ref-RN27"/>
    <w:p>
      <w:pPr>
        <w:pStyle w:val="Litteraturfrteckning"/>
      </w:pPr>
      <w:r>
        <w:t xml:space="preserve">9. Gerdin M, Roy N, Fellander-Tsai L, Tomson G, Schreeb J von, Petzold M, et al. Traumatic transfers: Calibration is adversely affected when prediction models are transferred between trauma care contexts in india and the united states. J Clin Epidemiol. 2016;74:177–86.</w:t>
      </w:r>
    </w:p>
    <w:bookmarkEnd w:id="65"/>
    <w:bookmarkStart w:id="66" w:name="ref-RN59"/>
    <w:p>
      <w:pPr>
        <w:pStyle w:val="Litteraturfrteckning"/>
      </w:pPr>
      <w:r>
        <w:t xml:space="preserve">10. Henriksson M. Github: Transfer effect mistriage. 2019.</w:t>
      </w:r>
    </w:p>
    <w:bookmarkEnd w:id="66"/>
    <w:bookmarkStart w:id="67" w:name="ref-RN23"/>
    <w:p>
      <w:pPr>
        <w:pStyle w:val="Litteraturfrteckning"/>
      </w:pPr>
      <w:r>
        <w:t xml:space="preserve">11. Lennquist S. Traumatologi. 1st edition. Book. Stockholm: Liber AB; 2007.</w:t>
      </w:r>
    </w:p>
    <w:bookmarkEnd w:id="67"/>
    <w:bookmarkStart w:id="68" w:name="ref-RN34"/>
    <w:p>
      <w:pPr>
        <w:pStyle w:val="Litteraturfrteckning"/>
      </w:pPr>
      <w:r>
        <w:t xml:space="preserve">12. Socialstyrelsen. Socialstyrelsen: Traumavard vid allvarlig handelse. 2015.</w:t>
      </w:r>
    </w:p>
    <w:bookmarkEnd w:id="68"/>
    <w:bookmarkStart w:id="69" w:name="ref-RN90"/>
    <w:p>
      <w:pPr>
        <w:pStyle w:val="Litteraturfrteckning"/>
      </w:pPr>
      <w:r>
        <w:t xml:space="preserve">13. LOF. LOF: Nationella traumalarmskriterier 2017. 2017.</w:t>
      </w:r>
    </w:p>
    <w:bookmarkEnd w:id="69"/>
    <w:bookmarkStart w:id="70" w:name="ref-RN28"/>
    <w:p>
      <w:pPr>
        <w:pStyle w:val="Litteraturfrteckning"/>
      </w:pPr>
      <w:r>
        <w:t xml:space="preserve">14. SweTrau. SweTrau: Minnesanteckning. 2018.</w:t>
      </w:r>
    </w:p>
    <w:bookmarkEnd w:id="70"/>
    <w:bookmarkStart w:id="71" w:name="ref-RN46"/>
    <w:p>
      <w:pPr>
        <w:pStyle w:val="Litteraturfrteckning"/>
      </w:pPr>
      <w:r>
        <w:t xml:space="preserve">15. McFadyen JG, Ramaiah R, Bhananker SM. Initial assessment and management of pediatric trauma patients. Int J Crit Illn Inj Sci. 2012;2:121–7.</w:t>
      </w:r>
    </w:p>
    <w:bookmarkEnd w:id="71"/>
    <w:bookmarkStart w:id="72" w:name="ref-RN35"/>
    <w:p>
      <w:pPr>
        <w:pStyle w:val="Litteraturfrteckning"/>
      </w:pPr>
      <w:r>
        <w:t xml:space="preserve">16. Champion HR, Sacco WJ, Copes WS, Gann DS, Gennarelli TA, Flanagan ME. A revision of the trauma score. J Trauma. 1989;29:623–9.</w:t>
      </w:r>
    </w:p>
    <w:bookmarkEnd w:id="72"/>
    <w:bookmarkStart w:id="73" w:name="ref-RN36"/>
    <w:p>
      <w:pPr>
        <w:pStyle w:val="Litteraturfrteckning"/>
      </w:pPr>
      <w:r>
        <w:t xml:space="preserve">17. Palmer C. Major trauma and the injury severity score–where should we set the bar? Annu Proc Assoc Adv Automot Med. 2007;51:13–29.</w:t>
      </w:r>
    </w:p>
    <w:bookmarkEnd w:id="73"/>
    <w:bookmarkStart w:id="74" w:name="ref-RN30"/>
    <w:p>
      <w:pPr>
        <w:pStyle w:val="Litteraturfrteckning"/>
      </w:pPr>
      <w:r>
        <w:t xml:space="preserve">18. Peduzzi P, Concato J, Kemper E, Holford TR, Feinstein AR. A simulation study of the number of events per variable in logistic regression analysis. J Clin Epidemiol. 1996;49:1373–9.</w:t>
      </w:r>
    </w:p>
    <w:bookmarkEnd w:id="74"/>
    <w:bookmarkStart w:id="75" w:name="ref-Courvoisier2011"/>
    <w:p>
      <w:pPr>
        <w:pStyle w:val="Litteraturfrteckning"/>
      </w:pPr>
      <w:r>
        <w:t xml:space="preserve">19. Courvoisier DS, Combescure C, Agoritsas T, Gayet-Ageron A, Perneger TV. Performance of logistic regression modeling: Beyond the number of events per variable, the role of data structure. Journal of Clinical Epidemiology. 2011;64:993–1000.</w:t>
      </w:r>
    </w:p>
    <w:bookmarkEnd w:id="75"/>
    <w:bookmarkStart w:id="76" w:name="ref-RN37"/>
    <w:p>
      <w:pPr>
        <w:pStyle w:val="Litteraturfrteckning"/>
      </w:pPr>
      <w:r>
        <w:t xml:space="preserve">20. Vergouwe Y, Steyerberg EW, Eijkemans MJ, Habbema JD. Substantial effective sample sizes were required for external validation studies of predictive logistic regression models. J Clin Epidemiol. 2005;58:475–83.</w:t>
      </w:r>
    </w:p>
    <w:bookmarkEnd w:id="76"/>
    <w:bookmarkStart w:id="77" w:name="ref-RN31"/>
    <w:p>
      <w:pPr>
        <w:pStyle w:val="Litteraturfrteckning"/>
      </w:pPr>
      <w:r>
        <w:t xml:space="preserve">21. The R team. R-project. 2018.</w:t>
      </w:r>
    </w:p>
    <w:bookmarkEnd w:id="77"/>
    <w:bookmarkStart w:id="78" w:name="ref-RN61"/>
    <w:p>
      <w:pPr>
        <w:pStyle w:val="Litteraturfrteckning"/>
      </w:pPr>
      <w:r>
        <w:t xml:space="preserve">22. Bleeker SE, Moll HA, Steyerberg EW, Donders AR, Derksen-Lubsen G, Grobbee DE, et al. External validation is necessary in prediction research: A clinical example. J Clin Epidemiol. 2003;56:826–32.</w:t>
      </w:r>
    </w:p>
    <w:bookmarkEnd w:id="78"/>
    <w:bookmarkStart w:id="79" w:name="ref-RN39"/>
    <w:p>
      <w:pPr>
        <w:pStyle w:val="Litteraturfrteckning"/>
      </w:pPr>
      <w:r>
        <w:t xml:space="preserve">23. Rotondo MF, Cribari C, Smith RS. Resources for the optimal care of the injured patient. Report. American College of Surgeons; 2014.</w:t>
      </w:r>
    </w:p>
    <w:bookmarkEnd w:id="79"/>
    <w:bookmarkStart w:id="80" w:name="ref-RN41"/>
    <w:p>
      <w:pPr>
        <w:pStyle w:val="Litteraturfrteckning"/>
      </w:pPr>
      <w:r>
        <w:t xml:space="preserve">24. Buuren S van, Groothuis-Oudshoorn C. MICE: Multivariate imputation by chained equations in r. Book. 2011.</w:t>
      </w:r>
    </w:p>
    <w:bookmarkEnd w:id="80"/>
    <w:bookmarkStart w:id="81" w:name="ref-RN60"/>
    <w:p>
      <w:pPr>
        <w:pStyle w:val="Litteraturfrteckning"/>
      </w:pPr>
      <w:r>
        <w:t xml:space="preserve">25. Terrin N, Schmid CH, Griffith JL, D’Agostino RB, Selker HP. External validity of predictive models: A comparison of logistic regression, classification trees, and neural networks. J Clin Epidemiol. 2003;56:721–9.</w:t>
      </w:r>
    </w:p>
    <w:bookmarkEnd w:id="81"/>
    <w:bookmarkStart w:id="82" w:name="ref-RN62"/>
    <w:p>
      <w:pPr>
        <w:pStyle w:val="Litteraturfrteckning"/>
      </w:pPr>
      <w:r>
        <w:t xml:space="preserve">26. Genders TSS, Coles A, Hoffmann U, Patel MR, Mark DB, Lee KL, et al. The external validity of prediction models for the diagnosis of obstructive coronary artery disease in patients with stable chest pain: Insights from the promise trial. JACC Cardiovasc Imaging. 2018;11:437–46.</w:t>
      </w:r>
    </w:p>
    <w:bookmarkEnd w:id="82"/>
    <w:bookmarkEnd w:id="83"/>
    <w:sectPr w:rsidR="00F13AA2">
      <w:headerReference w:type="even" r:id="rId10"/>
      <w:headerReference w:type="default" r:id="rId9"/>
      <w:footerReference w:type="even" r:id="rId14"/>
      <w:footerReference w:type="default" r:id="rId13"/>
      <w:headerReference w:type="first" r:id="rId11"/>
      <w:footerReference w:type="first" r:id="rId12"/>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7" w:name="_GoBack" w:displacedByCustomXml="next"/>
  <w:bookmarkEnd w:id="37" w:displacedByCustomXml="next"/>
  <w:sdt>
    <w:sdtPr>
      <w:id w:val="270906527"/>
      <w:docPartObj>
        <w:docPartGallery w:val="Page Numbers (Bottom of Page)"/>
        <w:docPartUnique/>
      </w:docPartObj>
    </w:sdtPr>
    <w:sdtContent>
      <w:p w:rsidR="004B0BD0" w:rsidRDefault="004B0BD0">
        <w:pPr>
          <w:pStyle w:val="Sidfot"/>
          <w:jc w:val="right"/>
        </w:pPr>
        <w:r>
          <w:fldChar w:fldCharType="begin"/>
        </w:r>
        <w:r>
          <w:instrText>PAGE   \* MERGEFORMAT</w:instrText>
        </w:r>
        <w:r>
          <w:fldChar w:fldCharType="separate"/>
        </w:r>
        <w:r>
          <w:rPr>
            <w:lang w:val="sv-SE"/>
          </w:rPr>
          <w:t>2</w:t>
        </w:r>
        <w:r>
          <w:fldChar w:fldCharType="end"/>
        </w:r>
      </w:p>
    </w:sdtContent>
  </w:sdt>
  <w:p w:rsidR="004B0BD0" w:rsidRDefault="004B0BD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fo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huvud">
    <w:name w:val="header"/>
    <w:basedOn w:val="Normal"/>
    <w:link w:val="SidhuvudChar"/>
    <w:unhideWhenUsed/>
    <w:rsid w:val="004B0BD0"/>
    <w:pPr>
      <w:tabs>
        <w:tab w:val="center" w:pos="4536"/>
        <w:tab w:val="right" w:pos="9072"/>
      </w:tabs>
      <w:spacing w:after="0"/>
    </w:pPr>
  </w:style>
  <w:style w:type="character" w:customStyle="1" w:styleId="SidhuvudChar">
    <w:name w:val="Sidhuvud Char"/>
    <w:basedOn w:val="Standardstycketeckensnitt"/>
    <w:link w:val="Sidhuvud"/>
    <w:rsid w:val="004B0BD0"/>
  </w:style>
  <w:style w:type="paragraph" w:styleId="Sidfot">
    <w:name w:val="footer"/>
    <w:basedOn w:val="Normal"/>
    <w:link w:val="SidfotChar"/>
    <w:uiPriority w:val="99"/>
    <w:unhideWhenUsed/>
    <w:rsid w:val="004B0BD0"/>
    <w:pPr>
      <w:tabs>
        <w:tab w:val="center" w:pos="4536"/>
        <w:tab w:val="right" w:pos="9072"/>
      </w:tabs>
      <w:spacing w:after="0"/>
    </w:pPr>
  </w:style>
  <w:style w:type="character" w:customStyle="1" w:styleId="SidfotChar">
    <w:name w:val="Sidfot Char"/>
    <w:basedOn w:val="Standardstycketeckensnitt"/>
    <w:link w:val="Sidfot"/>
    <w:uiPriority w:val="99"/>
    <w:rsid w:val="004B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0" Target="media/rId4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667</Words>
  <Characters>3538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 Dell D Saulnier; Johanna Berg; Martin Gerdin Wärnberg</dc:creator>
  <cp:keywords/>
  <dcterms:created xsi:type="dcterms:W3CDTF">2019-09-28T17:51:13Z</dcterms:created>
  <dcterms:modified xsi:type="dcterms:W3CDTF">2019-09-28T17:51:13Z</dcterms:modified>
</cp:coreProperties>
</file>