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FB3F5" w14:textId="4BCFDA35" w:rsidR="00033578" w:rsidRPr="00A405BD" w:rsidRDefault="004F1C01" w:rsidP="00033578">
      <w:pPr>
        <w:widowControl w:val="0"/>
        <w:autoSpaceDE w:val="0"/>
        <w:autoSpaceDN w:val="0"/>
        <w:adjustRightInd w:val="0"/>
        <w:spacing w:after="0"/>
        <w:jc w:val="center"/>
        <w:rPr>
          <w:rFonts w:ascii="Times New Roman" w:eastAsia="Cambria" w:hAnsi="Times New Roman" w:cs="Times New Roman"/>
          <w:sz w:val="36"/>
          <w:szCs w:val="36"/>
          <w:lang w:val="en-GB"/>
        </w:rPr>
      </w:pPr>
      <w:r w:rsidRPr="00A405BD">
        <w:rPr>
          <w:rFonts w:ascii="Times New Roman" w:eastAsia="Cambria" w:hAnsi="Times New Roman" w:cs="Times New Roman"/>
          <w:sz w:val="36"/>
          <w:szCs w:val="36"/>
          <w:lang w:val="en-GB"/>
        </w:rPr>
        <w:t xml:space="preserve">Transferring clinical prediction models for early trauma care </w:t>
      </w:r>
      <w:r w:rsidR="00C31725">
        <w:rPr>
          <w:rFonts w:ascii="Times New Roman" w:eastAsia="Cambria" w:hAnsi="Times New Roman" w:cs="Times New Roman"/>
          <w:sz w:val="36"/>
          <w:szCs w:val="36"/>
          <w:lang w:val="en-GB"/>
        </w:rPr>
        <w:t>can</w:t>
      </w:r>
      <w:r w:rsidR="00C31725" w:rsidRPr="00A405BD">
        <w:rPr>
          <w:rFonts w:ascii="Times New Roman" w:eastAsia="Cambria" w:hAnsi="Times New Roman" w:cs="Times New Roman"/>
          <w:sz w:val="36"/>
          <w:szCs w:val="36"/>
          <w:lang w:val="en-GB"/>
        </w:rPr>
        <w:t xml:space="preserve"> </w:t>
      </w:r>
      <w:r w:rsidRPr="00A405BD">
        <w:rPr>
          <w:rFonts w:ascii="Times New Roman" w:eastAsia="Cambria" w:hAnsi="Times New Roman" w:cs="Times New Roman"/>
          <w:sz w:val="36"/>
          <w:szCs w:val="36"/>
          <w:lang w:val="en-GB"/>
        </w:rPr>
        <w:t>lead to increased mistriage</w:t>
      </w:r>
    </w:p>
    <w:p w14:paraId="7BF795BE" w14:textId="77777777" w:rsidR="00033578" w:rsidRPr="00A405BD" w:rsidRDefault="00033578" w:rsidP="00033578">
      <w:pPr>
        <w:widowControl w:val="0"/>
        <w:autoSpaceDE w:val="0"/>
        <w:autoSpaceDN w:val="0"/>
        <w:adjustRightInd w:val="0"/>
        <w:spacing w:after="0"/>
        <w:jc w:val="center"/>
        <w:rPr>
          <w:rFonts w:ascii="Times New Roman" w:eastAsia="Cambria" w:hAnsi="Times New Roman" w:cs="Times New Roman"/>
          <w:lang w:val="en-GB"/>
        </w:rPr>
      </w:pPr>
    </w:p>
    <w:p w14:paraId="64388EC3" w14:textId="77777777" w:rsidR="00033578" w:rsidRPr="009C7F8F" w:rsidRDefault="00033578" w:rsidP="00033578">
      <w:pPr>
        <w:widowControl w:val="0"/>
        <w:autoSpaceDE w:val="0"/>
        <w:autoSpaceDN w:val="0"/>
        <w:adjustRightInd w:val="0"/>
        <w:spacing w:after="0"/>
        <w:jc w:val="center"/>
        <w:rPr>
          <w:rFonts w:ascii="Times New Roman" w:eastAsia="Cambria" w:hAnsi="Times New Roman" w:cs="Times New Roman"/>
          <w:vertAlign w:val="superscript"/>
          <w:lang w:val="sv-SE"/>
        </w:rPr>
      </w:pPr>
      <w:r w:rsidRPr="009C7F8F">
        <w:rPr>
          <w:rFonts w:ascii="Times New Roman" w:eastAsia="Cambria" w:hAnsi="Times New Roman" w:cs="Times New Roman"/>
          <w:lang w:val="sv-SE"/>
        </w:rPr>
        <w:t>M. Henriksson, BScN</w:t>
      </w:r>
      <w:r w:rsidRPr="009C7F8F">
        <w:rPr>
          <w:rFonts w:ascii="Times New Roman" w:eastAsia="Cambria" w:hAnsi="Times New Roman" w:cs="Times New Roman"/>
          <w:vertAlign w:val="superscript"/>
          <w:lang w:val="sv-SE"/>
        </w:rPr>
        <w:t>1</w:t>
      </w:r>
      <w:r w:rsidRPr="009C7F8F">
        <w:rPr>
          <w:rFonts w:ascii="Times New Roman" w:eastAsia="Cambria" w:hAnsi="Times New Roman" w:cs="Times New Roman"/>
          <w:lang w:val="sv-SE"/>
        </w:rPr>
        <w:t xml:space="preserve">; D. D </w:t>
      </w:r>
      <w:proofErr w:type="spellStart"/>
      <w:r w:rsidRPr="009C7F8F">
        <w:rPr>
          <w:rFonts w:ascii="Times New Roman" w:eastAsia="Cambria" w:hAnsi="Times New Roman" w:cs="Times New Roman"/>
          <w:lang w:val="sv-SE"/>
        </w:rPr>
        <w:t>Saulnier</w:t>
      </w:r>
      <w:proofErr w:type="spellEnd"/>
      <w:r w:rsidRPr="009C7F8F">
        <w:rPr>
          <w:rFonts w:ascii="Times New Roman" w:eastAsia="Cambria" w:hAnsi="Times New Roman" w:cs="Times New Roman"/>
          <w:lang w:val="sv-SE"/>
        </w:rPr>
        <w:t>, MSc</w:t>
      </w:r>
      <w:r w:rsidRPr="009C7F8F">
        <w:rPr>
          <w:rFonts w:ascii="Times New Roman" w:eastAsia="Cambria" w:hAnsi="Times New Roman" w:cs="Times New Roman"/>
          <w:vertAlign w:val="superscript"/>
          <w:lang w:val="sv-SE"/>
        </w:rPr>
        <w:t>1</w:t>
      </w:r>
      <w:r w:rsidRPr="009C7F8F">
        <w:rPr>
          <w:rFonts w:ascii="Times New Roman" w:eastAsia="Cambria" w:hAnsi="Times New Roman" w:cs="Times New Roman"/>
          <w:lang w:val="sv-SE"/>
        </w:rPr>
        <w:t>; J. Berg, MD</w:t>
      </w:r>
      <w:r w:rsidRPr="009C7F8F">
        <w:rPr>
          <w:rFonts w:ascii="Times New Roman" w:eastAsia="Cambria" w:hAnsi="Times New Roman" w:cs="Times New Roman"/>
          <w:vertAlign w:val="superscript"/>
          <w:lang w:val="sv-SE"/>
        </w:rPr>
        <w:t>1,2</w:t>
      </w:r>
      <w:r w:rsidRPr="009C7F8F">
        <w:rPr>
          <w:rFonts w:ascii="Times New Roman" w:eastAsia="Cambria" w:hAnsi="Times New Roman" w:cs="Times New Roman"/>
          <w:lang w:val="sv-SE"/>
        </w:rPr>
        <w:t>; M. Gerdin Wärnberg, MD, PhD</w:t>
      </w:r>
      <w:r w:rsidRPr="009C7F8F">
        <w:rPr>
          <w:rFonts w:ascii="Times New Roman" w:eastAsia="Cambria" w:hAnsi="Times New Roman" w:cs="Times New Roman"/>
          <w:vertAlign w:val="superscript"/>
          <w:lang w:val="sv-SE"/>
        </w:rPr>
        <w:t>1</w:t>
      </w:r>
    </w:p>
    <w:p w14:paraId="68C9A8AD" w14:textId="77777777" w:rsidR="00033578" w:rsidRPr="009C7F8F" w:rsidRDefault="00033578" w:rsidP="00033578">
      <w:pPr>
        <w:widowControl w:val="0"/>
        <w:autoSpaceDE w:val="0"/>
        <w:autoSpaceDN w:val="0"/>
        <w:adjustRightInd w:val="0"/>
        <w:spacing w:after="0"/>
        <w:jc w:val="center"/>
        <w:rPr>
          <w:rFonts w:ascii="Times New Roman" w:eastAsia="Cambria" w:hAnsi="Times New Roman" w:cs="Times New Roman"/>
          <w:vertAlign w:val="superscript"/>
          <w:lang w:val="sv-SE"/>
        </w:rPr>
      </w:pPr>
    </w:p>
    <w:p w14:paraId="1B58ECE3" w14:textId="7FF2F06D" w:rsidR="00033578" w:rsidRPr="00E7074B" w:rsidRDefault="00033578" w:rsidP="00033578">
      <w:pPr>
        <w:widowControl w:val="0"/>
        <w:autoSpaceDE w:val="0"/>
        <w:autoSpaceDN w:val="0"/>
        <w:adjustRightInd w:val="0"/>
        <w:spacing w:after="0"/>
        <w:jc w:val="center"/>
        <w:rPr>
          <w:rFonts w:ascii="Times New Roman" w:eastAsia="Cambria" w:hAnsi="Times New Roman" w:cs="Times New Roman"/>
          <w:lang w:val="en-GB"/>
        </w:rPr>
      </w:pPr>
      <w:r w:rsidRPr="00A405BD">
        <w:rPr>
          <w:rFonts w:ascii="Times New Roman" w:eastAsia="Cambria" w:hAnsi="Times New Roman" w:cs="Times New Roman"/>
          <w:vertAlign w:val="superscript"/>
          <w:lang w:val="en-GB"/>
        </w:rPr>
        <w:t>1</w:t>
      </w:r>
      <w:r w:rsidRPr="00A405BD">
        <w:rPr>
          <w:rFonts w:ascii="Times New Roman" w:eastAsia="Cambria" w:hAnsi="Times New Roman" w:cs="Times New Roman"/>
          <w:lang w:val="en-GB"/>
        </w:rPr>
        <w:t xml:space="preserve"> Department of </w:t>
      </w:r>
      <w:r w:rsidR="000C22E1">
        <w:rPr>
          <w:rFonts w:ascii="Times New Roman" w:eastAsia="Cambria" w:hAnsi="Times New Roman" w:cs="Times New Roman"/>
          <w:lang w:val="en-GB"/>
        </w:rPr>
        <w:t xml:space="preserve">Global </w:t>
      </w:r>
      <w:r w:rsidRPr="00A405BD">
        <w:rPr>
          <w:rFonts w:ascii="Times New Roman" w:eastAsia="Cambria" w:hAnsi="Times New Roman" w:cs="Times New Roman"/>
          <w:lang w:val="en-GB"/>
        </w:rPr>
        <w:t xml:space="preserve">Public Health, Karolinska </w:t>
      </w:r>
      <w:proofErr w:type="spellStart"/>
      <w:r w:rsidRPr="00A405BD">
        <w:rPr>
          <w:rFonts w:ascii="Times New Roman" w:eastAsia="Cambria" w:hAnsi="Times New Roman" w:cs="Times New Roman"/>
          <w:lang w:val="en-GB"/>
        </w:rPr>
        <w:t>Institutet</w:t>
      </w:r>
      <w:proofErr w:type="spellEnd"/>
      <w:r w:rsidRPr="00A405BD">
        <w:rPr>
          <w:rFonts w:ascii="Times New Roman" w:eastAsia="Cambria" w:hAnsi="Times New Roman" w:cs="Times New Roman"/>
          <w:lang w:val="en-GB"/>
        </w:rPr>
        <w:t>,</w:t>
      </w:r>
    </w:p>
    <w:p w14:paraId="3D84737E" w14:textId="77777777" w:rsidR="00033578" w:rsidRPr="00A405BD" w:rsidRDefault="00033578" w:rsidP="00033578">
      <w:pPr>
        <w:widowControl w:val="0"/>
        <w:autoSpaceDE w:val="0"/>
        <w:autoSpaceDN w:val="0"/>
        <w:adjustRightInd w:val="0"/>
        <w:spacing w:after="0"/>
        <w:jc w:val="center"/>
        <w:rPr>
          <w:rFonts w:ascii="Times New Roman" w:eastAsia="Cambria" w:hAnsi="Times New Roman" w:cs="Times New Roman"/>
          <w:lang w:val="en-GB"/>
        </w:rPr>
      </w:pPr>
      <w:r w:rsidRPr="00A405BD">
        <w:rPr>
          <w:rFonts w:ascii="Times New Roman" w:eastAsia="Cambria" w:hAnsi="Times New Roman" w:cs="Times New Roman"/>
          <w:lang w:val="en-GB"/>
        </w:rPr>
        <w:t>Stockholm, Sweden</w:t>
      </w:r>
    </w:p>
    <w:p w14:paraId="1D4F7700" w14:textId="77777777" w:rsidR="00033578" w:rsidRPr="00A405BD" w:rsidRDefault="00033578" w:rsidP="00033578">
      <w:pPr>
        <w:widowControl w:val="0"/>
        <w:autoSpaceDE w:val="0"/>
        <w:autoSpaceDN w:val="0"/>
        <w:adjustRightInd w:val="0"/>
        <w:spacing w:after="0"/>
        <w:jc w:val="center"/>
        <w:rPr>
          <w:rFonts w:ascii="Times New Roman" w:eastAsia="Cambria" w:hAnsi="Times New Roman" w:cs="Times New Roman"/>
          <w:lang w:val="en-GB"/>
        </w:rPr>
      </w:pPr>
      <w:r w:rsidRPr="00A405BD">
        <w:rPr>
          <w:rFonts w:ascii="Times New Roman" w:eastAsia="Cambria" w:hAnsi="Times New Roman" w:cs="Times New Roman"/>
          <w:vertAlign w:val="superscript"/>
          <w:lang w:val="en-GB"/>
        </w:rPr>
        <w:t>2</w:t>
      </w:r>
      <w:r w:rsidRPr="00A405BD">
        <w:rPr>
          <w:rFonts w:ascii="Times New Roman" w:eastAsia="Cambria" w:hAnsi="Times New Roman" w:cs="Times New Roman"/>
          <w:lang w:val="en-GB"/>
        </w:rPr>
        <w:t xml:space="preserve"> Department of Emergency Medicine, </w:t>
      </w:r>
      <w:proofErr w:type="spellStart"/>
      <w:r w:rsidRPr="00A405BD">
        <w:rPr>
          <w:rFonts w:ascii="Times New Roman" w:eastAsia="Cambria" w:hAnsi="Times New Roman" w:cs="Times New Roman"/>
          <w:lang w:val="en-GB"/>
        </w:rPr>
        <w:t>Skåne</w:t>
      </w:r>
      <w:proofErr w:type="spellEnd"/>
      <w:r w:rsidRPr="00A405BD">
        <w:rPr>
          <w:rFonts w:ascii="Times New Roman" w:eastAsia="Cambria" w:hAnsi="Times New Roman" w:cs="Times New Roman"/>
          <w:lang w:val="en-GB"/>
        </w:rPr>
        <w:t xml:space="preserve"> University Hospital, </w:t>
      </w:r>
    </w:p>
    <w:p w14:paraId="0C9506C2" w14:textId="77777777" w:rsidR="00033578" w:rsidRPr="00A405BD" w:rsidRDefault="00033578" w:rsidP="00033578">
      <w:pPr>
        <w:widowControl w:val="0"/>
        <w:autoSpaceDE w:val="0"/>
        <w:autoSpaceDN w:val="0"/>
        <w:adjustRightInd w:val="0"/>
        <w:spacing w:after="0"/>
        <w:jc w:val="center"/>
        <w:rPr>
          <w:rFonts w:ascii="Times New Roman" w:eastAsia="Cambria" w:hAnsi="Times New Roman" w:cs="Times New Roman"/>
          <w:lang w:val="en-GB"/>
        </w:rPr>
      </w:pPr>
      <w:r w:rsidRPr="00A405BD">
        <w:rPr>
          <w:rFonts w:ascii="Times New Roman" w:eastAsia="Cambria" w:hAnsi="Times New Roman" w:cs="Times New Roman"/>
          <w:lang w:val="en-GB"/>
        </w:rPr>
        <w:t>Malmö, Sweden</w:t>
      </w:r>
    </w:p>
    <w:p w14:paraId="4C30E617" w14:textId="77777777" w:rsidR="00033578" w:rsidRPr="00A405BD" w:rsidRDefault="00033578" w:rsidP="00033578">
      <w:pPr>
        <w:widowControl w:val="0"/>
        <w:autoSpaceDE w:val="0"/>
        <w:autoSpaceDN w:val="0"/>
        <w:adjustRightInd w:val="0"/>
        <w:spacing w:after="0"/>
        <w:rPr>
          <w:rFonts w:ascii="Times New Roman" w:eastAsia="Cambria" w:hAnsi="Times New Roman" w:cs="Times New Roman"/>
          <w:lang w:val="en-GB"/>
        </w:rPr>
      </w:pPr>
    </w:p>
    <w:p w14:paraId="0AF7E13E" w14:textId="77777777" w:rsidR="00033578" w:rsidRPr="00A405BD" w:rsidRDefault="00033578" w:rsidP="00033578">
      <w:pPr>
        <w:widowControl w:val="0"/>
        <w:autoSpaceDE w:val="0"/>
        <w:autoSpaceDN w:val="0"/>
        <w:adjustRightInd w:val="0"/>
        <w:spacing w:after="0"/>
        <w:rPr>
          <w:rFonts w:ascii="Times New Roman" w:eastAsia="Cambria" w:hAnsi="Times New Roman" w:cs="Times New Roman"/>
          <w:lang w:val="en-GB"/>
        </w:rPr>
      </w:pPr>
    </w:p>
    <w:p w14:paraId="6288B5AD" w14:textId="77777777" w:rsidR="00033578" w:rsidRPr="00A405BD" w:rsidRDefault="00033578" w:rsidP="00033578">
      <w:pPr>
        <w:widowControl w:val="0"/>
        <w:autoSpaceDE w:val="0"/>
        <w:autoSpaceDN w:val="0"/>
        <w:adjustRightInd w:val="0"/>
        <w:spacing w:after="0"/>
        <w:rPr>
          <w:rFonts w:ascii="Times New Roman" w:eastAsia="Cambria" w:hAnsi="Times New Roman" w:cs="Times New Roman"/>
          <w:lang w:val="en-GB"/>
        </w:rPr>
      </w:pPr>
    </w:p>
    <w:p w14:paraId="31AEA9DB" w14:textId="77777777" w:rsidR="00033578" w:rsidRPr="00A405BD" w:rsidRDefault="00033578" w:rsidP="00033578">
      <w:pPr>
        <w:widowControl w:val="0"/>
        <w:autoSpaceDE w:val="0"/>
        <w:autoSpaceDN w:val="0"/>
        <w:adjustRightInd w:val="0"/>
        <w:spacing w:after="0" w:line="480" w:lineRule="auto"/>
        <w:rPr>
          <w:rFonts w:ascii="Times New Roman" w:eastAsia="Cambria" w:hAnsi="Times New Roman" w:cs="Times New Roman"/>
          <w:lang w:val="en-GB"/>
        </w:rPr>
      </w:pPr>
      <w:r w:rsidRPr="00A405BD">
        <w:rPr>
          <w:rFonts w:ascii="Times New Roman" w:eastAsia="Cambria" w:hAnsi="Times New Roman" w:cs="Times New Roman"/>
          <w:lang w:val="en-GB"/>
        </w:rPr>
        <w:t xml:space="preserve">Corresponding author: </w:t>
      </w:r>
      <w:r w:rsidRPr="00A405BD">
        <w:rPr>
          <w:rFonts w:ascii="Times New Roman" w:eastAsia="Cambria" w:hAnsi="Times New Roman" w:cs="Times New Roman"/>
          <w:lang w:val="en-GB"/>
        </w:rPr>
        <w:tab/>
      </w:r>
      <w:r w:rsidRPr="00A405BD">
        <w:rPr>
          <w:rFonts w:ascii="Times New Roman" w:eastAsia="Cambria" w:hAnsi="Times New Roman" w:cs="Times New Roman"/>
          <w:lang w:val="en-GB"/>
        </w:rPr>
        <w:tab/>
      </w:r>
      <w:r w:rsidRPr="00A405BD">
        <w:rPr>
          <w:rFonts w:ascii="Times New Roman" w:eastAsia="Cambria" w:hAnsi="Times New Roman" w:cs="Times New Roman"/>
          <w:lang w:val="en-GB"/>
        </w:rPr>
        <w:tab/>
        <w:t>Martin Henriksson</w:t>
      </w:r>
    </w:p>
    <w:p w14:paraId="14B701A4" w14:textId="25FE8940" w:rsidR="00033578" w:rsidRPr="00A405BD" w:rsidRDefault="00033578" w:rsidP="00033578">
      <w:pPr>
        <w:widowControl w:val="0"/>
        <w:autoSpaceDE w:val="0"/>
        <w:autoSpaceDN w:val="0"/>
        <w:adjustRightInd w:val="0"/>
        <w:spacing w:after="0" w:line="480" w:lineRule="auto"/>
        <w:rPr>
          <w:rFonts w:ascii="Times New Roman" w:eastAsia="Cambria" w:hAnsi="Times New Roman" w:cs="Times New Roman"/>
          <w:lang w:val="en-GB"/>
        </w:rPr>
      </w:pPr>
      <w:r w:rsidRPr="00A405BD">
        <w:rPr>
          <w:rFonts w:ascii="Times New Roman" w:eastAsia="Cambria" w:hAnsi="Times New Roman" w:cs="Times New Roman"/>
          <w:lang w:val="en-GB"/>
        </w:rPr>
        <w:t>And reprints</w:t>
      </w:r>
      <w:r w:rsidRPr="00A405BD">
        <w:rPr>
          <w:rFonts w:ascii="Times New Roman" w:eastAsia="Cambria" w:hAnsi="Times New Roman" w:cs="Times New Roman"/>
          <w:lang w:val="en-GB"/>
        </w:rPr>
        <w:tab/>
      </w:r>
      <w:r w:rsidRPr="00A405BD">
        <w:rPr>
          <w:rFonts w:ascii="Times New Roman" w:eastAsia="Cambria" w:hAnsi="Times New Roman" w:cs="Times New Roman"/>
          <w:lang w:val="en-GB"/>
        </w:rPr>
        <w:tab/>
      </w:r>
      <w:r w:rsidRPr="00A405BD">
        <w:rPr>
          <w:rFonts w:ascii="Times New Roman" w:eastAsia="Cambria" w:hAnsi="Times New Roman" w:cs="Times New Roman"/>
          <w:lang w:val="en-GB"/>
        </w:rPr>
        <w:tab/>
      </w:r>
      <w:r w:rsidRPr="00A405BD">
        <w:rPr>
          <w:rFonts w:ascii="Times New Roman" w:eastAsia="Cambria" w:hAnsi="Times New Roman" w:cs="Times New Roman"/>
          <w:lang w:val="en-GB"/>
        </w:rPr>
        <w:tab/>
      </w:r>
      <w:r w:rsidRPr="00A405BD">
        <w:rPr>
          <w:rFonts w:ascii="Times New Roman" w:eastAsia="Cambria" w:hAnsi="Times New Roman" w:cs="Times New Roman"/>
          <w:lang w:val="en-GB"/>
        </w:rPr>
        <w:tab/>
        <w:t>Department of</w:t>
      </w:r>
      <w:r w:rsidR="000C22E1">
        <w:rPr>
          <w:rFonts w:ascii="Times New Roman" w:eastAsia="Cambria" w:hAnsi="Times New Roman" w:cs="Times New Roman"/>
          <w:lang w:val="en-GB"/>
        </w:rPr>
        <w:t xml:space="preserve"> Global</w:t>
      </w:r>
      <w:r w:rsidRPr="00A405BD">
        <w:rPr>
          <w:rFonts w:ascii="Times New Roman" w:eastAsia="Cambria" w:hAnsi="Times New Roman" w:cs="Times New Roman"/>
          <w:lang w:val="en-GB"/>
        </w:rPr>
        <w:t xml:space="preserve"> Public Healt</w:t>
      </w:r>
      <w:r w:rsidR="000C22E1">
        <w:rPr>
          <w:rFonts w:ascii="Times New Roman" w:eastAsia="Cambria" w:hAnsi="Times New Roman" w:cs="Times New Roman"/>
          <w:lang w:val="en-GB"/>
        </w:rPr>
        <w:t>h</w:t>
      </w:r>
    </w:p>
    <w:p w14:paraId="4BC6A434" w14:textId="77777777" w:rsidR="00033578" w:rsidRPr="009C7F8F" w:rsidRDefault="00033578" w:rsidP="00033578">
      <w:pPr>
        <w:widowControl w:val="0"/>
        <w:autoSpaceDE w:val="0"/>
        <w:autoSpaceDN w:val="0"/>
        <w:adjustRightInd w:val="0"/>
        <w:spacing w:after="0" w:line="480" w:lineRule="auto"/>
        <w:rPr>
          <w:rFonts w:ascii="Times New Roman" w:eastAsia="Cambria" w:hAnsi="Times New Roman" w:cs="Times New Roman"/>
          <w:lang w:val="sv-SE"/>
        </w:rPr>
      </w:pPr>
      <w:r w:rsidRPr="00A405BD">
        <w:rPr>
          <w:rFonts w:ascii="Times New Roman" w:eastAsia="Cambria" w:hAnsi="Times New Roman" w:cs="Times New Roman"/>
          <w:lang w:val="en-GB"/>
        </w:rPr>
        <w:tab/>
      </w:r>
      <w:r w:rsidRPr="00A405BD">
        <w:rPr>
          <w:rFonts w:ascii="Times New Roman" w:eastAsia="Cambria" w:hAnsi="Times New Roman" w:cs="Times New Roman"/>
          <w:lang w:val="en-GB"/>
        </w:rPr>
        <w:tab/>
      </w:r>
      <w:r w:rsidRPr="00A405BD">
        <w:rPr>
          <w:rFonts w:ascii="Times New Roman" w:eastAsia="Cambria" w:hAnsi="Times New Roman" w:cs="Times New Roman"/>
          <w:lang w:val="en-GB"/>
        </w:rPr>
        <w:tab/>
      </w:r>
      <w:r w:rsidRPr="00A405BD">
        <w:rPr>
          <w:rFonts w:ascii="Times New Roman" w:eastAsia="Cambria" w:hAnsi="Times New Roman" w:cs="Times New Roman"/>
          <w:lang w:val="en-GB"/>
        </w:rPr>
        <w:tab/>
      </w:r>
      <w:r w:rsidRPr="00A405BD">
        <w:rPr>
          <w:rFonts w:ascii="Times New Roman" w:eastAsia="Cambria" w:hAnsi="Times New Roman" w:cs="Times New Roman"/>
          <w:lang w:val="en-GB"/>
        </w:rPr>
        <w:tab/>
      </w:r>
      <w:r w:rsidRPr="00A405BD">
        <w:rPr>
          <w:rFonts w:ascii="Times New Roman" w:eastAsia="Cambria" w:hAnsi="Times New Roman" w:cs="Times New Roman"/>
          <w:lang w:val="en-GB"/>
        </w:rPr>
        <w:tab/>
      </w:r>
      <w:r w:rsidRPr="009C7F8F">
        <w:rPr>
          <w:rFonts w:ascii="Times New Roman" w:eastAsia="Cambria" w:hAnsi="Times New Roman" w:cs="Times New Roman"/>
          <w:lang w:val="sv-SE"/>
        </w:rPr>
        <w:t>Karolinska Institutet</w:t>
      </w:r>
    </w:p>
    <w:p w14:paraId="1E963E80" w14:textId="77777777" w:rsidR="00033578" w:rsidRPr="009C7F8F" w:rsidRDefault="00033578" w:rsidP="00033578">
      <w:pPr>
        <w:widowControl w:val="0"/>
        <w:autoSpaceDE w:val="0"/>
        <w:autoSpaceDN w:val="0"/>
        <w:adjustRightInd w:val="0"/>
        <w:spacing w:after="0" w:line="480" w:lineRule="auto"/>
        <w:rPr>
          <w:rFonts w:ascii="Times New Roman" w:eastAsia="Cambria" w:hAnsi="Times New Roman" w:cs="Times New Roman"/>
          <w:lang w:val="sv-SE"/>
        </w:rPr>
      </w:pP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r>
      <w:proofErr w:type="spellStart"/>
      <w:r w:rsidRPr="009C7F8F">
        <w:rPr>
          <w:rFonts w:ascii="Times New Roman" w:eastAsia="Cambria" w:hAnsi="Times New Roman" w:cs="Times New Roman"/>
          <w:lang w:val="sv-SE"/>
        </w:rPr>
        <w:t>Tomtebodavägen</w:t>
      </w:r>
      <w:proofErr w:type="spellEnd"/>
      <w:r w:rsidRPr="009C7F8F">
        <w:rPr>
          <w:rFonts w:ascii="Times New Roman" w:eastAsia="Cambria" w:hAnsi="Times New Roman" w:cs="Times New Roman"/>
          <w:lang w:val="sv-SE"/>
        </w:rPr>
        <w:t xml:space="preserve"> 18</w:t>
      </w:r>
    </w:p>
    <w:p w14:paraId="04E885A7" w14:textId="77777777" w:rsidR="00033578" w:rsidRPr="009C7F8F" w:rsidRDefault="00033578" w:rsidP="00033578">
      <w:pPr>
        <w:widowControl w:val="0"/>
        <w:autoSpaceDE w:val="0"/>
        <w:autoSpaceDN w:val="0"/>
        <w:adjustRightInd w:val="0"/>
        <w:spacing w:after="0" w:line="480" w:lineRule="auto"/>
        <w:ind w:left="3016" w:firstLine="1304"/>
        <w:contextualSpacing/>
        <w:rPr>
          <w:rFonts w:ascii="Times New Roman" w:eastAsia="Cambria" w:hAnsi="Times New Roman" w:cs="Times New Roman"/>
          <w:lang w:val="sv-SE"/>
        </w:rPr>
      </w:pPr>
      <w:r w:rsidRPr="009C7F8F">
        <w:rPr>
          <w:rFonts w:ascii="Times New Roman" w:eastAsia="Cambria" w:hAnsi="Times New Roman" w:cs="Times New Roman"/>
          <w:lang w:val="sv-SE"/>
        </w:rPr>
        <w:t>171 65 Solna, Sweden</w:t>
      </w:r>
    </w:p>
    <w:p w14:paraId="675C0047" w14:textId="77777777" w:rsidR="00033578" w:rsidRPr="009C7F8F" w:rsidRDefault="00033578" w:rsidP="00033578">
      <w:pPr>
        <w:widowControl w:val="0"/>
        <w:autoSpaceDE w:val="0"/>
        <w:autoSpaceDN w:val="0"/>
        <w:adjustRightInd w:val="0"/>
        <w:spacing w:after="0" w:line="480" w:lineRule="auto"/>
        <w:rPr>
          <w:rFonts w:ascii="Times New Roman" w:eastAsia="Cambria" w:hAnsi="Times New Roman" w:cs="Times New Roman"/>
          <w:lang w:val="sv-SE"/>
        </w:rPr>
      </w:pP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t>martin.henriksson@stud.ki.se</w:t>
      </w:r>
    </w:p>
    <w:p w14:paraId="4F838EDD" w14:textId="77777777" w:rsidR="00033578" w:rsidRPr="00A405BD" w:rsidRDefault="00033578" w:rsidP="00033578">
      <w:pPr>
        <w:widowControl w:val="0"/>
        <w:autoSpaceDE w:val="0"/>
        <w:autoSpaceDN w:val="0"/>
        <w:adjustRightInd w:val="0"/>
        <w:spacing w:after="0" w:line="480" w:lineRule="auto"/>
        <w:rPr>
          <w:rFonts w:ascii="Times New Roman" w:eastAsia="Cambria" w:hAnsi="Times New Roman" w:cs="Times New Roman"/>
          <w:lang w:val="en-GB"/>
        </w:rPr>
      </w:pP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r>
      <w:r w:rsidRPr="009C7F8F">
        <w:rPr>
          <w:rFonts w:ascii="Times New Roman" w:eastAsia="Cambria" w:hAnsi="Times New Roman" w:cs="Times New Roman"/>
          <w:lang w:val="sv-SE"/>
        </w:rPr>
        <w:tab/>
      </w:r>
      <w:hyperlink r:id="rId8" w:history="1">
        <w:r w:rsidRPr="00A405BD">
          <w:rPr>
            <w:rFonts w:ascii="Times New Roman" w:eastAsia="Cambria" w:hAnsi="Times New Roman" w:cs="Times New Roman"/>
            <w:color w:val="0000FF"/>
            <w:u w:val="single"/>
            <w:lang w:val="en-GB"/>
          </w:rPr>
          <w:t>https://orcid.org/0000-0002-0993-1501</w:t>
        </w:r>
      </w:hyperlink>
    </w:p>
    <w:p w14:paraId="050CA3C8" w14:textId="77777777" w:rsidR="00033578" w:rsidRPr="00A405BD" w:rsidRDefault="00033578" w:rsidP="00033578">
      <w:pPr>
        <w:widowControl w:val="0"/>
        <w:autoSpaceDE w:val="0"/>
        <w:autoSpaceDN w:val="0"/>
        <w:adjustRightInd w:val="0"/>
        <w:spacing w:after="0" w:line="480" w:lineRule="auto"/>
        <w:ind w:left="3016" w:firstLine="1304"/>
        <w:contextualSpacing/>
        <w:rPr>
          <w:rFonts w:ascii="Times New Roman" w:eastAsia="Cambria" w:hAnsi="Times New Roman" w:cs="Times New Roman"/>
          <w:lang w:val="en-GB"/>
        </w:rPr>
      </w:pPr>
      <w:r w:rsidRPr="00A405BD">
        <w:rPr>
          <w:rFonts w:ascii="Times New Roman" w:eastAsia="Cambria" w:hAnsi="Times New Roman" w:cs="Times New Roman"/>
          <w:lang w:val="en-GB"/>
        </w:rPr>
        <w:t>Phone +46 73 070 73 25</w:t>
      </w:r>
    </w:p>
    <w:p w14:paraId="50F3EDEC" w14:textId="3910DAAC" w:rsidR="00033578" w:rsidRPr="00A405BD" w:rsidRDefault="00033578" w:rsidP="00033578">
      <w:pPr>
        <w:widowControl w:val="0"/>
        <w:autoSpaceDE w:val="0"/>
        <w:autoSpaceDN w:val="0"/>
        <w:adjustRightInd w:val="0"/>
        <w:spacing w:after="0"/>
        <w:rPr>
          <w:rFonts w:ascii="Times New Roman" w:eastAsia="Cambria" w:hAnsi="Times New Roman" w:cs="Times New Roman"/>
          <w:lang w:val="en-GB"/>
        </w:rPr>
      </w:pPr>
      <w:r w:rsidRPr="00A405BD">
        <w:rPr>
          <w:rFonts w:ascii="Times New Roman" w:eastAsia="Cambria" w:hAnsi="Times New Roman" w:cs="Times New Roman"/>
          <w:i/>
          <w:iCs/>
          <w:lang w:val="en-GB"/>
        </w:rPr>
        <w:t>Word count</w:t>
      </w:r>
      <w:r w:rsidRPr="00A405BD">
        <w:rPr>
          <w:rFonts w:ascii="Times New Roman" w:eastAsia="Cambria" w:hAnsi="Times New Roman" w:cs="Times New Roman"/>
          <w:lang w:val="en-GB"/>
        </w:rPr>
        <w:t>: 2,9</w:t>
      </w:r>
      <w:r w:rsidR="00316990">
        <w:rPr>
          <w:rFonts w:ascii="Times New Roman" w:eastAsia="Cambria" w:hAnsi="Times New Roman" w:cs="Times New Roman"/>
          <w:lang w:val="en-GB"/>
        </w:rPr>
        <w:t>34</w:t>
      </w:r>
      <w:r w:rsidRPr="00A405BD">
        <w:rPr>
          <w:rFonts w:ascii="Times New Roman" w:eastAsia="Cambria" w:hAnsi="Times New Roman" w:cs="Times New Roman"/>
          <w:lang w:val="en-GB"/>
        </w:rPr>
        <w:t xml:space="preserve"> (</w:t>
      </w:r>
      <w:r w:rsidR="000C22E1">
        <w:rPr>
          <w:rFonts w:ascii="Times New Roman" w:eastAsia="Cambria" w:hAnsi="Times New Roman" w:cs="Times New Roman"/>
          <w:lang w:val="en-GB"/>
        </w:rPr>
        <w:t>w</w:t>
      </w:r>
      <w:r w:rsidR="00E601F6">
        <w:rPr>
          <w:rFonts w:ascii="Times New Roman" w:eastAsia="Cambria" w:hAnsi="Times New Roman" w:cs="Times New Roman"/>
          <w:lang w:val="en-GB"/>
        </w:rPr>
        <w:t>ithout</w:t>
      </w:r>
      <w:r w:rsidRPr="00A405BD">
        <w:rPr>
          <w:rFonts w:ascii="Times New Roman" w:eastAsia="Cambria" w:hAnsi="Times New Roman" w:cs="Times New Roman"/>
          <w:lang w:val="en-GB"/>
        </w:rPr>
        <w:t xml:space="preserve"> tables, figures and references)</w:t>
      </w:r>
    </w:p>
    <w:p w14:paraId="38FB4E67" w14:textId="77777777" w:rsidR="00033578" w:rsidRPr="00A405BD" w:rsidRDefault="00033578" w:rsidP="00033578">
      <w:pPr>
        <w:widowControl w:val="0"/>
        <w:autoSpaceDE w:val="0"/>
        <w:autoSpaceDN w:val="0"/>
        <w:adjustRightInd w:val="0"/>
        <w:spacing w:after="0"/>
        <w:rPr>
          <w:rFonts w:ascii="Times New Roman" w:eastAsia="Cambria" w:hAnsi="Times New Roman" w:cs="Times New Roman"/>
          <w:lang w:val="en-GB"/>
        </w:rPr>
      </w:pPr>
      <w:r w:rsidRPr="00A405BD">
        <w:rPr>
          <w:rFonts w:ascii="Times New Roman" w:eastAsia="Cambria" w:hAnsi="Times New Roman" w:cs="Times New Roman"/>
          <w:i/>
          <w:iCs/>
          <w:lang w:val="en-GB"/>
        </w:rPr>
        <w:t>Tables</w:t>
      </w:r>
      <w:r w:rsidRPr="00A405BD">
        <w:rPr>
          <w:rFonts w:ascii="Times New Roman" w:eastAsia="Cambria" w:hAnsi="Times New Roman" w:cs="Times New Roman"/>
          <w:lang w:val="en-GB"/>
        </w:rPr>
        <w:t>: 4</w:t>
      </w:r>
    </w:p>
    <w:p w14:paraId="1BFB8CD4" w14:textId="77777777" w:rsidR="00033578" w:rsidRPr="00A405BD" w:rsidRDefault="00033578" w:rsidP="00033578">
      <w:pPr>
        <w:widowControl w:val="0"/>
        <w:autoSpaceDE w:val="0"/>
        <w:autoSpaceDN w:val="0"/>
        <w:adjustRightInd w:val="0"/>
        <w:spacing w:after="0" w:line="480" w:lineRule="auto"/>
        <w:rPr>
          <w:rFonts w:ascii="Times New Roman" w:eastAsia="Cambria" w:hAnsi="Times New Roman" w:cs="Times New Roman"/>
          <w:lang w:val="en-GB"/>
        </w:rPr>
      </w:pPr>
      <w:r w:rsidRPr="00A405BD">
        <w:rPr>
          <w:rFonts w:ascii="Times New Roman" w:eastAsia="Cambria" w:hAnsi="Times New Roman" w:cs="Times New Roman"/>
          <w:i/>
          <w:iCs/>
          <w:lang w:val="en-GB"/>
        </w:rPr>
        <w:t>Figures</w:t>
      </w:r>
      <w:r w:rsidRPr="00A405BD">
        <w:rPr>
          <w:rFonts w:ascii="Times New Roman" w:eastAsia="Cambria" w:hAnsi="Times New Roman" w:cs="Times New Roman"/>
          <w:lang w:val="en-GB"/>
        </w:rPr>
        <w:t>: 1</w:t>
      </w:r>
    </w:p>
    <w:p w14:paraId="1C565877" w14:textId="77777777" w:rsidR="00033578" w:rsidRPr="00A405BD" w:rsidRDefault="00033578" w:rsidP="00033578">
      <w:pPr>
        <w:autoSpaceDN w:val="0"/>
        <w:spacing w:after="0"/>
        <w:rPr>
          <w:rFonts w:ascii="Times New Roman" w:eastAsia="Times New Roman" w:hAnsi="Times New Roman" w:cs="Times New Roman"/>
          <w:color w:val="000000"/>
          <w:shd w:val="clear" w:color="auto" w:fill="FFFFFF"/>
          <w:lang w:val="en-GB" w:eastAsia="sv-SE"/>
        </w:rPr>
      </w:pPr>
      <w:r w:rsidRPr="00A405BD">
        <w:rPr>
          <w:rFonts w:ascii="Times New Roman" w:eastAsia="Cambria" w:hAnsi="Times New Roman" w:cs="Times New Roman"/>
          <w:i/>
          <w:iCs/>
          <w:lang w:val="en-GB"/>
        </w:rPr>
        <w:t xml:space="preserve">Trial registration: </w:t>
      </w:r>
      <w:r w:rsidRPr="00A405BD">
        <w:rPr>
          <w:rFonts w:ascii="Times New Roman" w:eastAsia="Cambria" w:hAnsi="Times New Roman" w:cs="Times New Roman"/>
          <w:iCs/>
          <w:lang w:val="en-GB"/>
        </w:rPr>
        <w:t>The protocol for this study was uploaded to github.com/613Martin/transfer-effect-mistriage before the research was undertaken.</w:t>
      </w:r>
    </w:p>
    <w:p w14:paraId="378C9098" w14:textId="77777777" w:rsidR="00033578" w:rsidRPr="00A405BD" w:rsidRDefault="00033578" w:rsidP="00033578">
      <w:pPr>
        <w:autoSpaceDN w:val="0"/>
        <w:spacing w:after="0"/>
        <w:rPr>
          <w:rFonts w:ascii="Times New Roman" w:eastAsia="Times New Roman" w:hAnsi="Times New Roman" w:cs="Times New Roman"/>
          <w:lang w:val="en-GB" w:eastAsia="sv-SE"/>
        </w:rPr>
      </w:pPr>
    </w:p>
    <w:p w14:paraId="2693D603" w14:textId="77777777" w:rsidR="00033578" w:rsidRPr="00A405BD" w:rsidRDefault="00033578" w:rsidP="00033578">
      <w:pPr>
        <w:widowControl w:val="0"/>
        <w:autoSpaceDE w:val="0"/>
        <w:autoSpaceDN w:val="0"/>
        <w:adjustRightInd w:val="0"/>
        <w:spacing w:after="0"/>
        <w:rPr>
          <w:rFonts w:ascii="Times New Roman" w:eastAsia="Cambria" w:hAnsi="Times New Roman" w:cs="Times New Roman"/>
          <w:lang w:val="en-GB"/>
        </w:rPr>
      </w:pPr>
      <w:r w:rsidRPr="00A405BD">
        <w:rPr>
          <w:rFonts w:ascii="Times New Roman" w:eastAsia="Cambria" w:hAnsi="Times New Roman" w:cs="Times New Roman"/>
          <w:i/>
          <w:lang w:val="en-GB"/>
        </w:rPr>
        <w:t>Declaration of interest:</w:t>
      </w:r>
      <w:r w:rsidRPr="00A405BD">
        <w:rPr>
          <w:rFonts w:ascii="Times New Roman" w:eastAsia="Cambria" w:hAnsi="Times New Roman" w:cs="Times New Roman"/>
          <w:lang w:val="en-GB"/>
        </w:rPr>
        <w:t xml:space="preserve"> The authors declare no conflict of interest. </w:t>
      </w:r>
    </w:p>
    <w:p w14:paraId="1085ECD0" w14:textId="77777777" w:rsidR="00033578" w:rsidRPr="00A405BD" w:rsidRDefault="00033578" w:rsidP="00033578">
      <w:pPr>
        <w:widowControl w:val="0"/>
        <w:autoSpaceDE w:val="0"/>
        <w:autoSpaceDN w:val="0"/>
        <w:adjustRightInd w:val="0"/>
        <w:spacing w:after="0"/>
        <w:rPr>
          <w:rFonts w:ascii="Times New Roman" w:eastAsia="Cambria" w:hAnsi="Times New Roman" w:cs="Times New Roman"/>
          <w:lang w:val="en-GB"/>
        </w:rPr>
      </w:pPr>
    </w:p>
    <w:p w14:paraId="7CDA921E" w14:textId="77777777" w:rsidR="00033578" w:rsidRPr="00A405BD" w:rsidRDefault="00033578" w:rsidP="00033578">
      <w:pPr>
        <w:widowControl w:val="0"/>
        <w:autoSpaceDE w:val="0"/>
        <w:autoSpaceDN w:val="0"/>
        <w:adjustRightInd w:val="0"/>
        <w:spacing w:after="0"/>
        <w:rPr>
          <w:rFonts w:ascii="Times New Roman" w:eastAsia="Cambria" w:hAnsi="Times New Roman" w:cs="Times New Roman"/>
          <w:lang w:val="en-GB"/>
        </w:rPr>
      </w:pPr>
      <w:r w:rsidRPr="00A405BD">
        <w:rPr>
          <w:rFonts w:ascii="Times New Roman" w:eastAsia="Cambria" w:hAnsi="Times New Roman" w:cs="Times New Roman"/>
          <w:i/>
          <w:iCs/>
          <w:lang w:val="en-GB"/>
        </w:rPr>
        <w:t>Source of funding:</w:t>
      </w:r>
      <w:r w:rsidRPr="00A405BD">
        <w:rPr>
          <w:rFonts w:ascii="Times New Roman" w:eastAsia="Cambria" w:hAnsi="Times New Roman" w:cs="Times New Roman"/>
          <w:lang w:val="en-GB"/>
        </w:rPr>
        <w:t xml:space="preserve"> This work was supported by the Swedish National Board of Health and Welfare. The funders had no role in study design, data collection and analysis, decision to publish, or preparation of the manuscript.</w:t>
      </w:r>
    </w:p>
    <w:p w14:paraId="68248FB1" w14:textId="77777777" w:rsidR="00033578" w:rsidRPr="00A405BD" w:rsidRDefault="00033578" w:rsidP="00033578">
      <w:pPr>
        <w:widowControl w:val="0"/>
        <w:autoSpaceDE w:val="0"/>
        <w:autoSpaceDN w:val="0"/>
        <w:adjustRightInd w:val="0"/>
        <w:spacing w:after="0"/>
        <w:rPr>
          <w:rFonts w:ascii="Times New Roman" w:eastAsia="Cambria" w:hAnsi="Times New Roman" w:cs="Times New Roman"/>
          <w:lang w:val="en-GB"/>
        </w:rPr>
      </w:pPr>
    </w:p>
    <w:p w14:paraId="5DA970CF" w14:textId="77777777" w:rsidR="00033578" w:rsidRPr="00A405BD" w:rsidRDefault="00033578" w:rsidP="00033578">
      <w:pPr>
        <w:widowControl w:val="0"/>
        <w:autoSpaceDE w:val="0"/>
        <w:autoSpaceDN w:val="0"/>
        <w:adjustRightInd w:val="0"/>
        <w:spacing w:after="0"/>
        <w:rPr>
          <w:rFonts w:ascii="Times New Roman" w:eastAsia="Cambria" w:hAnsi="Times New Roman" w:cs="Times New Roman"/>
          <w:lang w:val="en-GB"/>
        </w:rPr>
      </w:pPr>
      <w:r w:rsidRPr="00A405BD">
        <w:rPr>
          <w:rFonts w:ascii="Times New Roman" w:eastAsia="Cambria" w:hAnsi="Times New Roman" w:cs="Times New Roman"/>
          <w:i/>
          <w:iCs/>
          <w:lang w:val="en-GB"/>
        </w:rPr>
        <w:t>Acknowledgements:</w:t>
      </w:r>
      <w:r w:rsidRPr="00A405BD">
        <w:rPr>
          <w:rFonts w:ascii="Times New Roman" w:eastAsia="Cambria" w:hAnsi="Times New Roman" w:cs="Times New Roman"/>
          <w:lang w:val="en-GB"/>
        </w:rPr>
        <w:t xml:space="preserve"> The analyses were performed on resources provided by the Swedish National Infrastructure for Computing (SNIC) at LUNARC.</w:t>
      </w:r>
    </w:p>
    <w:p w14:paraId="4859AA89" w14:textId="77777777" w:rsidR="00033578" w:rsidRPr="00A405BD" w:rsidRDefault="00033578" w:rsidP="00033578">
      <w:pPr>
        <w:widowControl w:val="0"/>
        <w:autoSpaceDE w:val="0"/>
        <w:autoSpaceDN w:val="0"/>
        <w:adjustRightInd w:val="0"/>
        <w:spacing w:after="0"/>
        <w:rPr>
          <w:rFonts w:ascii="Times New Roman" w:eastAsia="Cambria" w:hAnsi="Times New Roman" w:cs="Times New Roman"/>
          <w:lang w:val="en-GB"/>
        </w:rPr>
      </w:pPr>
    </w:p>
    <w:p w14:paraId="32F034D8" w14:textId="77777777" w:rsidR="00033578" w:rsidRPr="00FA486E" w:rsidRDefault="00033578" w:rsidP="00033578">
      <w:pPr>
        <w:rPr>
          <w:rFonts w:ascii="Times New Roman" w:eastAsiaTheme="majorEastAsia" w:hAnsi="Times New Roman" w:cstheme="majorBidi"/>
          <w:b/>
          <w:bCs/>
          <w:sz w:val="36"/>
          <w:szCs w:val="36"/>
          <w:lang w:val="en-GB"/>
        </w:rPr>
      </w:pPr>
      <w:r w:rsidRPr="00A405BD">
        <w:rPr>
          <w:rFonts w:ascii="Times New Roman" w:eastAsia="Cambria" w:hAnsi="Times New Roman" w:cs="Times New Roman"/>
          <w:i/>
          <w:iCs/>
          <w:lang w:val="en-GB"/>
        </w:rPr>
        <w:t>Ethics committee approval:</w:t>
      </w:r>
      <w:r w:rsidRPr="00A405BD">
        <w:rPr>
          <w:rFonts w:ascii="Times New Roman" w:eastAsia="Cambria" w:hAnsi="Times New Roman" w:cs="Times New Roman"/>
          <w:lang w:val="en-GB"/>
        </w:rPr>
        <w:t xml:space="preserve"> This study has been approved by the Regional Ethical Review Board in Stockholm. Ethical review numbers 2015/426-31 and 2016/461-32.</w:t>
      </w:r>
      <w:r w:rsidRPr="00FA486E">
        <w:rPr>
          <w:lang w:val="en-GB"/>
        </w:rPr>
        <w:br w:type="page"/>
      </w:r>
    </w:p>
    <w:p w14:paraId="528A186C" w14:textId="1766FC3B" w:rsidR="00E601F6" w:rsidRPr="001D1D55" w:rsidRDefault="00E601F6" w:rsidP="00E601F6">
      <w:pPr>
        <w:pStyle w:val="Rubrik"/>
        <w:rPr>
          <w:lang w:val="en-GB"/>
        </w:rPr>
      </w:pPr>
      <w:r w:rsidRPr="001D1D55">
        <w:rPr>
          <w:lang w:val="en-GB"/>
        </w:rPr>
        <w:lastRenderedPageBreak/>
        <w:t xml:space="preserve">Transferring clinical prediction models for early trauma care </w:t>
      </w:r>
      <w:r w:rsidR="003F169C">
        <w:rPr>
          <w:lang w:val="en-GB"/>
        </w:rPr>
        <w:t>can</w:t>
      </w:r>
      <w:r w:rsidRPr="001D1D55">
        <w:rPr>
          <w:lang w:val="en-GB"/>
        </w:rPr>
        <w:t xml:space="preserve"> lead to increased mistriage </w:t>
      </w:r>
    </w:p>
    <w:p w14:paraId="4F51D136" w14:textId="77777777" w:rsidR="00161F40" w:rsidRPr="00FA486E" w:rsidRDefault="00161F40">
      <w:pPr>
        <w:pStyle w:val="Author"/>
        <w:rPr>
          <w:lang w:val="en-GB"/>
        </w:rPr>
      </w:pPr>
    </w:p>
    <w:p w14:paraId="10D3DC49" w14:textId="1707DA0D" w:rsidR="00161F40" w:rsidRPr="00FA486E" w:rsidRDefault="005A5D55">
      <w:pPr>
        <w:pStyle w:val="Datum"/>
        <w:rPr>
          <w:lang w:val="en-GB"/>
        </w:rPr>
      </w:pPr>
      <w:r>
        <w:rPr>
          <w:lang w:val="en-GB"/>
        </w:rPr>
        <w:t>April</w:t>
      </w:r>
      <w:r w:rsidR="004F1C01" w:rsidRPr="00FA486E">
        <w:rPr>
          <w:lang w:val="en-GB"/>
        </w:rPr>
        <w:t xml:space="preserve"> </w:t>
      </w:r>
      <w:r w:rsidR="00626253">
        <w:rPr>
          <w:lang w:val="en-GB"/>
        </w:rPr>
        <w:t>24</w:t>
      </w:r>
      <w:r w:rsidR="004F1C01" w:rsidRPr="00FA486E">
        <w:rPr>
          <w:lang w:val="en-GB"/>
        </w:rPr>
        <w:t>, 2020</w:t>
      </w:r>
    </w:p>
    <w:p w14:paraId="2AB6A3EE" w14:textId="77777777" w:rsidR="00161F40" w:rsidRPr="00FA486E" w:rsidRDefault="00C406B5">
      <w:pPr>
        <w:pStyle w:val="Abstract"/>
        <w:rPr>
          <w:lang w:val="en-GB"/>
        </w:rPr>
      </w:pPr>
      <w:r w:rsidRPr="00FA486E">
        <w:rPr>
          <w:b/>
          <w:lang w:val="en-GB"/>
        </w:rPr>
        <w:t>Abstract</w:t>
      </w:r>
    </w:p>
    <w:p w14:paraId="3BBB98E9" w14:textId="77777777" w:rsidR="00161F40" w:rsidRPr="00FA486E" w:rsidRDefault="006E6520">
      <w:pPr>
        <w:pStyle w:val="Abstract"/>
        <w:rPr>
          <w:lang w:val="en-GB"/>
        </w:rPr>
      </w:pPr>
      <w:r w:rsidRPr="00FA486E">
        <w:rPr>
          <w:i/>
          <w:lang w:val="en-GB"/>
        </w:rPr>
        <w:t>Objective</w:t>
      </w:r>
      <w:r w:rsidR="00C406B5" w:rsidRPr="00FA486E">
        <w:rPr>
          <w:i/>
          <w:lang w:val="en-GB"/>
        </w:rPr>
        <w:t>:</w:t>
      </w:r>
      <w:r w:rsidR="00C406B5" w:rsidRPr="00FA486E">
        <w:rPr>
          <w:lang w:val="en-GB"/>
        </w:rPr>
        <w:t xml:space="preserve"> This study aimed to assess how transfers of clinical prediction models for early trauma care between different care contexts within a single health system affected mistriage rates.</w:t>
      </w:r>
    </w:p>
    <w:p w14:paraId="26E5E602" w14:textId="09D11894" w:rsidR="00161F40" w:rsidRPr="00FA486E" w:rsidRDefault="006E6520">
      <w:pPr>
        <w:pStyle w:val="Abstract"/>
        <w:rPr>
          <w:lang w:val="en-GB"/>
        </w:rPr>
      </w:pPr>
      <w:r w:rsidRPr="00FA486E">
        <w:rPr>
          <w:i/>
          <w:lang w:val="en-GB"/>
        </w:rPr>
        <w:t>Study design</w:t>
      </w:r>
      <w:r w:rsidR="00DE71BF">
        <w:rPr>
          <w:i/>
          <w:lang w:val="en-GB"/>
        </w:rPr>
        <w:t xml:space="preserve"> and setting</w:t>
      </w:r>
      <w:r w:rsidR="00C406B5" w:rsidRPr="00FA486E">
        <w:rPr>
          <w:i/>
          <w:lang w:val="en-GB"/>
        </w:rPr>
        <w:t>:</w:t>
      </w:r>
      <w:r w:rsidR="00C406B5" w:rsidRPr="00FA486E">
        <w:rPr>
          <w:lang w:val="en-GB"/>
        </w:rPr>
        <w:t xml:space="preserve"> Patients aged 15 years or older</w:t>
      </w:r>
      <w:r w:rsidR="005A4CD0" w:rsidRPr="00FA486E">
        <w:rPr>
          <w:lang w:val="en-GB"/>
        </w:rPr>
        <w:t>,</w:t>
      </w:r>
      <w:r w:rsidR="00C406B5" w:rsidRPr="00FA486E">
        <w:rPr>
          <w:lang w:val="en-GB"/>
        </w:rPr>
        <w:t xml:space="preserve"> registered between 2011 and 2016 in the Swedish national trauma registry, SweTrau, were included. Three data</w:t>
      </w:r>
      <w:r w:rsidR="00111A86">
        <w:rPr>
          <w:lang w:val="en-GB"/>
        </w:rPr>
        <w:t>set groups</w:t>
      </w:r>
      <w:r w:rsidR="00C406B5" w:rsidRPr="00FA486E">
        <w:rPr>
          <w:lang w:val="en-GB"/>
        </w:rPr>
        <w:t xml:space="preserve"> were created: high- and low-volume centres, metropolitan and non-metropolitan centres, and multi</w:t>
      </w:r>
      <w:r w:rsidR="0036688A">
        <w:rPr>
          <w:lang w:val="en-GB"/>
        </w:rPr>
        <w:t>-</w:t>
      </w:r>
      <w:r w:rsidR="00C406B5" w:rsidRPr="00FA486E">
        <w:rPr>
          <w:lang w:val="en-GB"/>
        </w:rPr>
        <w:t xml:space="preserve"> and single centre</w:t>
      </w:r>
      <w:r w:rsidR="0036688A">
        <w:rPr>
          <w:lang w:val="en-GB"/>
        </w:rPr>
        <w:t>s</w:t>
      </w:r>
      <w:r w:rsidR="00C406B5" w:rsidRPr="00FA486E">
        <w:rPr>
          <w:lang w:val="en-GB"/>
        </w:rPr>
        <w:t>. Clinical prediction models were developed using logistic regression in each dataset</w:t>
      </w:r>
      <w:r w:rsidR="00171F78">
        <w:rPr>
          <w:lang w:val="en-GB"/>
        </w:rPr>
        <w:t xml:space="preserve"> group</w:t>
      </w:r>
      <w:r w:rsidR="00C406B5" w:rsidRPr="00FA486E">
        <w:rPr>
          <w:lang w:val="en-GB"/>
        </w:rPr>
        <w:t xml:space="preserve"> and transferred </w:t>
      </w:r>
      <w:r w:rsidR="00F31590">
        <w:rPr>
          <w:lang w:val="en-GB"/>
        </w:rPr>
        <w:t xml:space="preserve">between datasets </w:t>
      </w:r>
      <w:r w:rsidR="00C406B5" w:rsidRPr="00FA486E">
        <w:rPr>
          <w:lang w:val="en-GB"/>
        </w:rPr>
        <w:t xml:space="preserve">within </w:t>
      </w:r>
      <w:r w:rsidR="00171F78">
        <w:rPr>
          <w:lang w:val="en-GB"/>
        </w:rPr>
        <w:t>groups</w:t>
      </w:r>
      <w:r w:rsidR="00C406B5" w:rsidRPr="00FA486E">
        <w:rPr>
          <w:lang w:val="en-GB"/>
        </w:rPr>
        <w:t xml:space="preserve">. Model performance was evaluated using mistriage rate, undertriage rate and overtriage rate. Multiple imputation using chained equations was used to handle missing data. Model performance was reported as medians with 95% </w:t>
      </w:r>
      <w:r w:rsidR="00D76E18">
        <w:rPr>
          <w:lang w:val="en-GB"/>
        </w:rPr>
        <w:t>confidence</w:t>
      </w:r>
      <w:r w:rsidR="00C406B5" w:rsidRPr="00FA486E">
        <w:rPr>
          <w:lang w:val="en-GB"/>
        </w:rPr>
        <w:t xml:space="preserve"> interval</w:t>
      </w:r>
      <w:r w:rsidR="00D76E18">
        <w:rPr>
          <w:lang w:val="en-GB"/>
        </w:rPr>
        <w:t>s (CI).</w:t>
      </w:r>
    </w:p>
    <w:p w14:paraId="3DCF3F09" w14:textId="4EF365E0" w:rsidR="00404DE5" w:rsidRPr="00FA486E" w:rsidRDefault="00C406B5">
      <w:pPr>
        <w:pStyle w:val="Abstract"/>
        <w:rPr>
          <w:lang w:val="en-GB"/>
        </w:rPr>
      </w:pPr>
      <w:r w:rsidRPr="00FA486E">
        <w:rPr>
          <w:i/>
          <w:lang w:val="en-GB"/>
        </w:rPr>
        <w:t>Results:</w:t>
      </w:r>
      <w:r w:rsidRPr="00FA486E">
        <w:rPr>
          <w:lang w:val="en-GB"/>
        </w:rPr>
        <w:t xml:space="preserve"> A total of 26965 patients were included. </w:t>
      </w:r>
      <w:r w:rsidR="00622FAB">
        <w:rPr>
          <w:lang w:val="en-GB"/>
        </w:rPr>
        <w:t>Changes in m</w:t>
      </w:r>
      <w:r w:rsidR="00E1645B" w:rsidRPr="00FA486E">
        <w:rPr>
          <w:lang w:val="en-GB"/>
        </w:rPr>
        <w:t>istriage rates after transfer ranged from -0.</w:t>
      </w:r>
      <w:r w:rsidR="00AA2E7C">
        <w:rPr>
          <w:lang w:val="en-GB"/>
        </w:rPr>
        <w:t>25</w:t>
      </w:r>
      <w:r w:rsidR="00E1645B" w:rsidRPr="00FA486E">
        <w:rPr>
          <w:lang w:val="en-GB"/>
        </w:rPr>
        <w:t xml:space="preserve"> (</w:t>
      </w:r>
      <w:r w:rsidR="00F46C00" w:rsidRPr="00FA486E">
        <w:rPr>
          <w:lang w:val="en-GB"/>
        </w:rPr>
        <w:t xml:space="preserve">95% </w:t>
      </w:r>
      <w:r w:rsidR="0064177C">
        <w:rPr>
          <w:lang w:val="en-GB"/>
        </w:rPr>
        <w:t>C</w:t>
      </w:r>
      <w:r w:rsidR="00F46C00" w:rsidRPr="00FA486E">
        <w:rPr>
          <w:lang w:val="en-GB"/>
        </w:rPr>
        <w:t xml:space="preserve">I </w:t>
      </w:r>
      <w:r w:rsidR="006E6520" w:rsidRPr="00FA486E">
        <w:rPr>
          <w:lang w:val="en-GB"/>
        </w:rPr>
        <w:t>-</w:t>
      </w:r>
      <w:r w:rsidR="00E1645B" w:rsidRPr="00FA486E">
        <w:rPr>
          <w:lang w:val="en-GB"/>
        </w:rPr>
        <w:t>0.</w:t>
      </w:r>
      <w:r w:rsidR="00AA2E7C">
        <w:rPr>
          <w:lang w:val="en-GB"/>
        </w:rPr>
        <w:t>21</w:t>
      </w:r>
      <w:r w:rsidR="00E1645B" w:rsidRPr="00FA486E">
        <w:rPr>
          <w:lang w:val="en-GB"/>
        </w:rPr>
        <w:t xml:space="preserve"> </w:t>
      </w:r>
      <w:r w:rsidR="00AA2E7C">
        <w:rPr>
          <w:lang w:val="en-GB"/>
        </w:rPr>
        <w:t>–</w:t>
      </w:r>
      <w:r w:rsidR="00E1645B" w:rsidRPr="00FA486E">
        <w:rPr>
          <w:lang w:val="en-GB"/>
        </w:rPr>
        <w:t xml:space="preserve"> </w:t>
      </w:r>
      <w:r w:rsidR="00AA2E7C">
        <w:rPr>
          <w:lang w:val="en-GB"/>
        </w:rPr>
        <w:t>0.04</w:t>
      </w:r>
      <w:r w:rsidR="00E1645B" w:rsidRPr="00FA486E">
        <w:rPr>
          <w:lang w:val="en-GB"/>
        </w:rPr>
        <w:t>) to 0.</w:t>
      </w:r>
      <w:r w:rsidR="00AA2E7C">
        <w:rPr>
          <w:lang w:val="en-GB"/>
        </w:rPr>
        <w:t>29</w:t>
      </w:r>
      <w:r w:rsidR="00E1645B" w:rsidRPr="00FA486E">
        <w:rPr>
          <w:lang w:val="en-GB"/>
        </w:rPr>
        <w:t xml:space="preserve"> (</w:t>
      </w:r>
      <w:r w:rsidR="00F46C00" w:rsidRPr="00FA486E">
        <w:rPr>
          <w:lang w:val="en-GB"/>
        </w:rPr>
        <w:t xml:space="preserve">95% </w:t>
      </w:r>
      <w:r w:rsidR="0064177C">
        <w:rPr>
          <w:lang w:val="en-GB"/>
        </w:rPr>
        <w:t>C</w:t>
      </w:r>
      <w:r w:rsidR="00F46C00" w:rsidRPr="00FA486E">
        <w:rPr>
          <w:lang w:val="en-GB"/>
        </w:rPr>
        <w:t xml:space="preserve">I </w:t>
      </w:r>
      <w:r w:rsidR="00E1645B" w:rsidRPr="00FA486E">
        <w:rPr>
          <w:lang w:val="en-GB"/>
        </w:rPr>
        <w:t>0.</w:t>
      </w:r>
      <w:r w:rsidR="006E6520" w:rsidRPr="00FA486E">
        <w:rPr>
          <w:lang w:val="en-GB"/>
        </w:rPr>
        <w:t>1</w:t>
      </w:r>
      <w:r w:rsidR="00AA2E7C">
        <w:rPr>
          <w:lang w:val="en-GB"/>
        </w:rPr>
        <w:t>3</w:t>
      </w:r>
      <w:r w:rsidR="00E1645B" w:rsidRPr="00FA486E">
        <w:rPr>
          <w:lang w:val="en-GB"/>
        </w:rPr>
        <w:t xml:space="preserve"> - 0.</w:t>
      </w:r>
      <w:r w:rsidR="00AA2E7C">
        <w:rPr>
          <w:lang w:val="en-GB"/>
        </w:rPr>
        <w:t>39</w:t>
      </w:r>
      <w:r w:rsidR="00E1645B" w:rsidRPr="00FA486E">
        <w:rPr>
          <w:lang w:val="en-GB"/>
        </w:rPr>
        <w:t>)</w:t>
      </w:r>
      <w:r w:rsidR="009745C9" w:rsidRPr="00FA486E">
        <w:rPr>
          <w:lang w:val="en-GB"/>
        </w:rPr>
        <w:t>.</w:t>
      </w:r>
      <w:r w:rsidR="00622FAB">
        <w:rPr>
          <w:lang w:val="en-GB"/>
        </w:rPr>
        <w:t xml:space="preserve"> Both overtriage and undertriage </w:t>
      </w:r>
      <w:r w:rsidR="00F836B6">
        <w:rPr>
          <w:lang w:val="en-GB"/>
        </w:rPr>
        <w:t xml:space="preserve">rates </w:t>
      </w:r>
      <w:r w:rsidR="00622FAB">
        <w:rPr>
          <w:lang w:val="en-GB"/>
        </w:rPr>
        <w:t>w</w:t>
      </w:r>
      <w:r w:rsidR="00F836B6">
        <w:rPr>
          <w:lang w:val="en-GB"/>
        </w:rPr>
        <w:t>ere</w:t>
      </w:r>
      <w:r w:rsidR="00622FAB">
        <w:rPr>
          <w:lang w:val="en-GB"/>
        </w:rPr>
        <w:t xml:space="preserve"> affected.</w:t>
      </w:r>
    </w:p>
    <w:p w14:paraId="493C739E" w14:textId="4A1898B2" w:rsidR="004163EF" w:rsidRDefault="00C406B5">
      <w:pPr>
        <w:pStyle w:val="Abstract"/>
        <w:rPr>
          <w:lang w:val="en-GB"/>
        </w:rPr>
      </w:pPr>
      <w:r w:rsidRPr="00FA486E">
        <w:rPr>
          <w:i/>
          <w:lang w:val="en-GB"/>
        </w:rPr>
        <w:t>Conclusions:</w:t>
      </w:r>
      <w:r w:rsidRPr="00FA486E">
        <w:rPr>
          <w:lang w:val="en-GB"/>
        </w:rPr>
        <w:t xml:space="preserve"> </w:t>
      </w:r>
      <w:r w:rsidR="00703228">
        <w:rPr>
          <w:lang w:val="en-GB"/>
        </w:rPr>
        <w:t xml:space="preserve">Transferring clinical prediction models </w:t>
      </w:r>
      <w:r w:rsidR="0087261B">
        <w:rPr>
          <w:lang w:val="en-GB"/>
        </w:rPr>
        <w:t>for early trauma care is associated with substantial uncertainty about the effect on model performance</w:t>
      </w:r>
      <w:r w:rsidR="00703228">
        <w:rPr>
          <w:lang w:val="en-GB"/>
        </w:rPr>
        <w:t xml:space="preserve">. </w:t>
      </w:r>
      <w:r w:rsidR="004163EF">
        <w:rPr>
          <w:lang w:val="en-GB"/>
        </w:rPr>
        <w:t xml:space="preserve">Depending on the </w:t>
      </w:r>
      <w:r w:rsidR="00703228">
        <w:rPr>
          <w:lang w:val="en-GB"/>
        </w:rPr>
        <w:t>care context</w:t>
      </w:r>
      <w:r w:rsidR="004163EF">
        <w:rPr>
          <w:lang w:val="en-GB"/>
        </w:rPr>
        <w:t xml:space="preserve">, model transfer </w:t>
      </w:r>
      <w:r w:rsidR="00703228">
        <w:rPr>
          <w:lang w:val="en-GB"/>
        </w:rPr>
        <w:t>le</w:t>
      </w:r>
      <w:r w:rsidR="00F836B6">
        <w:rPr>
          <w:lang w:val="en-GB"/>
        </w:rPr>
        <w:t>d</w:t>
      </w:r>
      <w:r w:rsidR="00703228">
        <w:rPr>
          <w:lang w:val="en-GB"/>
        </w:rPr>
        <w:t xml:space="preserve"> to either increased or decreased mistriage. Overtriage was more affected by model transfer than undertriage. </w:t>
      </w:r>
    </w:p>
    <w:p w14:paraId="13B0F13D" w14:textId="567458C0" w:rsidR="00161F40" w:rsidRPr="00FA486E" w:rsidRDefault="005F0529">
      <w:pPr>
        <w:pStyle w:val="Abstract"/>
        <w:rPr>
          <w:lang w:val="en-GB"/>
        </w:rPr>
      </w:pPr>
      <w:r w:rsidRPr="00FA486E">
        <w:rPr>
          <w:noProof/>
          <w:lang w:val="en-GB"/>
        </w:rPr>
        <mc:AlternateContent>
          <mc:Choice Requires="wps">
            <w:drawing>
              <wp:anchor distT="45720" distB="45720" distL="114300" distR="114300" simplePos="0" relativeHeight="251659264" behindDoc="0" locked="0" layoutInCell="1" allowOverlap="1" wp14:anchorId="6B6822C8" wp14:editId="42D7CAAB">
                <wp:simplePos x="0" y="0"/>
                <wp:positionH relativeFrom="column">
                  <wp:posOffset>29845</wp:posOffset>
                </wp:positionH>
                <wp:positionV relativeFrom="paragraph">
                  <wp:posOffset>519430</wp:posOffset>
                </wp:positionV>
                <wp:extent cx="5890260" cy="2316480"/>
                <wp:effectExtent l="0" t="0" r="15240" b="26670"/>
                <wp:wrapSquare wrapText="bothSides"/>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2316480"/>
                        </a:xfrm>
                        <a:prstGeom prst="rect">
                          <a:avLst/>
                        </a:prstGeom>
                        <a:solidFill>
                          <a:srgbClr val="FFFFFF"/>
                        </a:solidFill>
                        <a:ln w="9525">
                          <a:solidFill>
                            <a:srgbClr val="000000"/>
                          </a:solidFill>
                          <a:miter lim="800000"/>
                          <a:headEnd/>
                          <a:tailEnd/>
                        </a:ln>
                      </wps:spPr>
                      <wps:txbx>
                        <w:txbxContent>
                          <w:p w14:paraId="71A783AE" w14:textId="77777777" w:rsidR="00D32662" w:rsidRDefault="00D32662" w:rsidP="009C7A53">
                            <w:pPr>
                              <w:pStyle w:val="Abstract"/>
                            </w:pPr>
                            <w:r>
                              <w:rPr>
                                <w:b/>
                              </w:rPr>
                              <w:t>What’s new?</w:t>
                            </w:r>
                          </w:p>
                          <w:p w14:paraId="7785AA12" w14:textId="22883C56" w:rsidR="00D32662" w:rsidRDefault="00D32662" w:rsidP="00CF39A4">
                            <w:pPr>
                              <w:pStyle w:val="Abstract"/>
                              <w:numPr>
                                <w:ilvl w:val="0"/>
                                <w:numId w:val="4"/>
                              </w:numPr>
                            </w:pPr>
                            <w:r>
                              <w:t>Transferring clinical prediction models should warrant caution, as the effects on mistriage rates might vary depending on the care context.</w:t>
                            </w:r>
                          </w:p>
                          <w:p w14:paraId="23230A86" w14:textId="031D3BBD" w:rsidR="00D32662" w:rsidRPr="00CF39A4" w:rsidRDefault="00D32662" w:rsidP="00CF39A4">
                            <w:pPr>
                              <w:pStyle w:val="Abstract"/>
                              <w:numPr>
                                <w:ilvl w:val="0"/>
                                <w:numId w:val="4"/>
                              </w:numPr>
                            </w:pPr>
                            <w:r>
                              <w:t>Overtriage is more affected by model transfer than undertriage. Some transfers leading to improved overtriage also lead to worse performance in terms of undertriage.</w:t>
                            </w:r>
                          </w:p>
                          <w:p w14:paraId="54CDCC8A" w14:textId="22813C2A" w:rsidR="00D32662" w:rsidRPr="009C7A53" w:rsidRDefault="00D32662" w:rsidP="00FA486E">
                            <w:pPr>
                              <w:pStyle w:val="Abstract"/>
                              <w:numPr>
                                <w:ilvl w:val="0"/>
                                <w:numId w:val="4"/>
                              </w:numPr>
                            </w:pPr>
                            <w:r>
                              <w:t>Clinical prediction models for early trauma care could be developed in settings with a high volume of trauma patients, as these models generally perform better after transfer, but only in terms of mistriage.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6822C8" id="_x0000_t202" coordsize="21600,21600" o:spt="202" path="m,l,21600r21600,l21600,xe">
                <v:stroke joinstyle="miter"/>
                <v:path gradientshapeok="t" o:connecttype="rect"/>
              </v:shapetype>
              <v:shape id="Textruta 2" o:spid="_x0000_s1026" type="#_x0000_t202" style="position:absolute;margin-left:2.35pt;margin-top:40.9pt;width:463.8pt;height:18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">
                <v:textbox>
                  <w:txbxContent>
                    <w:p w14:paraId="71A783AE" w14:textId="77777777" w:rsidR="00D32662" w:rsidRDefault="00D32662" w:rsidP="009C7A53">
                      <w:pPr>
                        <w:pStyle w:val="Abstract"/>
                      </w:pPr>
                      <w:r>
                        <w:rPr>
                          <w:b/>
                        </w:rPr>
                        <w:t>What’s new?</w:t>
                      </w:r>
                    </w:p>
                    <w:p w14:paraId="7785AA12" w14:textId="22883C56" w:rsidR="00D32662" w:rsidRDefault="00D32662" w:rsidP="00CF39A4">
                      <w:pPr>
                        <w:pStyle w:val="Abstract"/>
                        <w:numPr>
                          <w:ilvl w:val="0"/>
                          <w:numId w:val="4"/>
                        </w:numPr>
                      </w:pPr>
                      <w:r>
                        <w:t>Transferring clinical prediction models should warrant caution, as the effects on mistriage rates might vary depending on the care context.</w:t>
                      </w:r>
                    </w:p>
                    <w:p w14:paraId="23230A86" w14:textId="031D3BBD" w:rsidR="00D32662" w:rsidRPr="00CF39A4" w:rsidRDefault="00D32662" w:rsidP="00CF39A4">
                      <w:pPr>
                        <w:pStyle w:val="Abstract"/>
                        <w:numPr>
                          <w:ilvl w:val="0"/>
                          <w:numId w:val="4"/>
                        </w:numPr>
                      </w:pPr>
                      <w:r>
                        <w:t>Overtriage is more affected by model transfer than undertriage. Some transfers leading to improved overtriage also lead to worse performance in terms of undertriage.</w:t>
                      </w:r>
                    </w:p>
                    <w:p w14:paraId="54CDCC8A" w14:textId="22813C2A" w:rsidR="00D32662" w:rsidRPr="009C7A53" w:rsidRDefault="00D32662" w:rsidP="00FA486E">
                      <w:pPr>
                        <w:pStyle w:val="Abstract"/>
                        <w:numPr>
                          <w:ilvl w:val="0"/>
                          <w:numId w:val="4"/>
                        </w:numPr>
                      </w:pPr>
                      <w:r>
                        <w:t>Clinical prediction models for early trauma care could be developed in settings with a high volume of trauma patients, as these models generally perform better after transfer, but only in terms of mistriage.</w:t>
                      </w:r>
                    </w:p>
                  </w:txbxContent>
                </v:textbox>
                <w10:wrap type="square"/>
              </v:shape>
            </w:pict>
          </mc:Fallback>
        </mc:AlternateContent>
      </w:r>
      <w:r w:rsidR="00C406B5" w:rsidRPr="00FA486E">
        <w:rPr>
          <w:b/>
          <w:lang w:val="en-GB"/>
        </w:rPr>
        <w:t>Keywords:</w:t>
      </w:r>
      <w:r w:rsidR="00C406B5" w:rsidRPr="00FA486E">
        <w:rPr>
          <w:lang w:val="en-GB"/>
        </w:rPr>
        <w:t xml:space="preserve"> Trauma, Clinical prediction model, Transferability, Mistriage, Undertriage, Overtriage</w:t>
      </w:r>
    </w:p>
    <w:p w14:paraId="3C1FB75A" w14:textId="11EE6FE4" w:rsidR="00CF39A4" w:rsidRDefault="00CF39A4" w:rsidP="00D0566F">
      <w:pPr>
        <w:pStyle w:val="Rubrik1"/>
        <w:spacing w:line="360" w:lineRule="auto"/>
        <w:rPr>
          <w:lang w:val="en-GB"/>
        </w:rPr>
      </w:pPr>
    </w:p>
    <w:p w14:paraId="03474337" w14:textId="77777777" w:rsidR="00626253" w:rsidRPr="00FA486E" w:rsidRDefault="00626253" w:rsidP="00FA486E">
      <w:pPr>
        <w:pStyle w:val="Brdtext"/>
        <w:rPr>
          <w:lang w:val="en-GB"/>
        </w:rPr>
      </w:pPr>
    </w:p>
    <w:p w14:paraId="15884205" w14:textId="58E09E24" w:rsidR="00161F40" w:rsidRPr="00FA486E" w:rsidRDefault="00C406B5" w:rsidP="00D0566F">
      <w:pPr>
        <w:pStyle w:val="Rubrik1"/>
        <w:spacing w:line="360" w:lineRule="auto"/>
        <w:rPr>
          <w:lang w:val="en-GB"/>
        </w:rPr>
      </w:pPr>
      <w:r w:rsidRPr="00FA486E">
        <w:rPr>
          <w:lang w:val="en-GB"/>
        </w:rPr>
        <w:lastRenderedPageBreak/>
        <w:t>Introduction</w:t>
      </w:r>
    </w:p>
    <w:p w14:paraId="275982A6" w14:textId="16106350" w:rsidR="00161F40" w:rsidRPr="00FA486E" w:rsidRDefault="00C406B5" w:rsidP="00D0566F">
      <w:pPr>
        <w:pStyle w:val="FirstParagraph"/>
        <w:spacing w:line="360" w:lineRule="auto"/>
        <w:rPr>
          <w:lang w:val="en-GB"/>
        </w:rPr>
      </w:pPr>
      <w:r w:rsidRPr="00FA486E">
        <w:rPr>
          <w:lang w:val="en-GB"/>
        </w:rPr>
        <w:t xml:space="preserve">Trauma, defined as physical injuries to a host by outside objects [1], accounts for approximately 458.5 million </w:t>
      </w:r>
      <w:r w:rsidR="00B86DFA">
        <w:rPr>
          <w:lang w:val="en-GB"/>
        </w:rPr>
        <w:t>hospital visits</w:t>
      </w:r>
      <w:r w:rsidR="00B86DFA" w:rsidRPr="00FA486E">
        <w:rPr>
          <w:lang w:val="en-GB"/>
        </w:rPr>
        <w:t xml:space="preserve"> </w:t>
      </w:r>
      <w:r w:rsidRPr="00FA486E">
        <w:rPr>
          <w:lang w:val="en-GB"/>
        </w:rPr>
        <w:t>annually across the globe [2] and around four million deaths [3, 4]. Each year, 9% of global deaths are the result of trauma, with the leading causes being road traffic accidents, suicide, and homicide. Predictions indicate that the incidence</w:t>
      </w:r>
      <w:r w:rsidR="00B86DFA">
        <w:rPr>
          <w:lang w:val="en-GB"/>
        </w:rPr>
        <w:t xml:space="preserve"> of trauma due</w:t>
      </w:r>
      <w:r w:rsidRPr="00FA486E">
        <w:rPr>
          <w:lang w:val="en-GB"/>
        </w:rPr>
        <w:t xml:space="preserve"> </w:t>
      </w:r>
      <w:r w:rsidR="00B86DFA">
        <w:rPr>
          <w:lang w:val="en-GB"/>
        </w:rPr>
        <w:t>to</w:t>
      </w:r>
      <w:r w:rsidRPr="00FA486E">
        <w:rPr>
          <w:lang w:val="en-GB"/>
        </w:rPr>
        <w:t xml:space="preserve"> these causes is likely to increase by 2030 [5].</w:t>
      </w:r>
    </w:p>
    <w:p w14:paraId="2FF5E310" w14:textId="6C24D567" w:rsidR="00161F40" w:rsidRPr="00FA486E" w:rsidRDefault="00C406B5" w:rsidP="00D0566F">
      <w:pPr>
        <w:pStyle w:val="Brdtext"/>
        <w:spacing w:line="360" w:lineRule="auto"/>
        <w:rPr>
          <w:lang w:val="en-GB"/>
        </w:rPr>
      </w:pPr>
      <w:r w:rsidRPr="00FA486E">
        <w:rPr>
          <w:lang w:val="en-GB"/>
        </w:rPr>
        <w:t xml:space="preserve">In a typical high-resource setting, the initial management of trauma is performed on the scene by </w:t>
      </w:r>
      <w:r w:rsidR="00866026">
        <w:rPr>
          <w:lang w:val="en-GB"/>
        </w:rPr>
        <w:t>e</w:t>
      </w:r>
      <w:r w:rsidRPr="00FA486E">
        <w:rPr>
          <w:lang w:val="en-GB"/>
        </w:rPr>
        <w:t xml:space="preserve">mergency </w:t>
      </w:r>
      <w:r w:rsidR="00866026">
        <w:rPr>
          <w:lang w:val="en-GB"/>
        </w:rPr>
        <w:t>m</w:t>
      </w:r>
      <w:r w:rsidRPr="00FA486E">
        <w:rPr>
          <w:lang w:val="en-GB"/>
        </w:rPr>
        <w:t xml:space="preserve">edical </w:t>
      </w:r>
      <w:r w:rsidR="00866026">
        <w:rPr>
          <w:lang w:val="en-GB"/>
        </w:rPr>
        <w:t>s</w:t>
      </w:r>
      <w:r w:rsidRPr="00FA486E">
        <w:rPr>
          <w:lang w:val="en-GB"/>
        </w:rPr>
        <w:t>ervices. Patient data and vital signs are transferred to the receiving hospital. This information is then evaluated using a system to determine the level of trauma, prepare adequate resources [6] and dictate whether a full or limited trauma team is activated [7].</w:t>
      </w:r>
    </w:p>
    <w:p w14:paraId="07149E9A" w14:textId="325B92B8" w:rsidR="00161F40" w:rsidRPr="00FA486E" w:rsidRDefault="00C406B5" w:rsidP="00D0566F">
      <w:pPr>
        <w:pStyle w:val="Brdtext"/>
        <w:spacing w:line="360" w:lineRule="auto"/>
        <w:rPr>
          <w:lang w:val="en-GB"/>
        </w:rPr>
      </w:pPr>
      <w:r w:rsidRPr="00FA486E">
        <w:rPr>
          <w:lang w:val="en-GB"/>
        </w:rPr>
        <w:t xml:space="preserve">Systems that determine the level of trauma during early trauma care can be based on clinical prediction models. Models differ in quality and characteristics but generally perform well at predicting survival [8]. Many models are developed in a single, standardized context, such as a major trauma centre, </w:t>
      </w:r>
      <w:r w:rsidR="00866026">
        <w:rPr>
          <w:lang w:val="en-GB"/>
        </w:rPr>
        <w:t>and</w:t>
      </w:r>
      <w:r w:rsidRPr="00FA486E">
        <w:rPr>
          <w:lang w:val="en-GB"/>
        </w:rPr>
        <w:t xml:space="preserve"> are then implemented in different contexts</w:t>
      </w:r>
      <w:r w:rsidR="006B26AF">
        <w:rPr>
          <w:lang w:val="en-GB"/>
        </w:rPr>
        <w:t xml:space="preserve"> </w:t>
      </w:r>
      <w:r w:rsidR="00041CF1">
        <w:rPr>
          <w:lang w:val="en-GB"/>
        </w:rPr>
        <w:t>[9]</w:t>
      </w:r>
      <w:r w:rsidRPr="00FA486E">
        <w:rPr>
          <w:lang w:val="en-GB"/>
        </w:rPr>
        <w:t>.</w:t>
      </w:r>
    </w:p>
    <w:p w14:paraId="3D153FDB" w14:textId="0A041AF8" w:rsidR="00161F40" w:rsidRPr="00FA486E" w:rsidRDefault="00C406B5" w:rsidP="00D0566F">
      <w:pPr>
        <w:pStyle w:val="Brdtext"/>
        <w:spacing w:line="360" w:lineRule="auto"/>
        <w:rPr>
          <w:lang w:val="en-GB"/>
        </w:rPr>
      </w:pPr>
      <w:r w:rsidRPr="00FA486E">
        <w:rPr>
          <w:lang w:val="en-GB"/>
        </w:rPr>
        <w:t xml:space="preserve">What is not fully understood is how this transfer affects model performance. Previous research has shown that model performance in terms of calibration can be adversely affected [9]. However, </w:t>
      </w:r>
      <w:r w:rsidR="006D2BA7">
        <w:rPr>
          <w:lang w:val="en-GB"/>
        </w:rPr>
        <w:t>that study assessed</w:t>
      </w:r>
      <w:r w:rsidRPr="00FA486E">
        <w:rPr>
          <w:lang w:val="en-GB"/>
        </w:rPr>
        <w:t xml:space="preserve"> model transfers between substantially different settings</w:t>
      </w:r>
      <w:r w:rsidR="00A25C93">
        <w:rPr>
          <w:lang w:val="en-GB"/>
        </w:rPr>
        <w:t xml:space="preserve"> (India and US)</w:t>
      </w:r>
      <w:r w:rsidRPr="00FA486E">
        <w:rPr>
          <w:lang w:val="en-GB"/>
        </w:rPr>
        <w:t xml:space="preserve"> and did not assess more clinically relevant performance measures, such as misclassification.</w:t>
      </w:r>
    </w:p>
    <w:p w14:paraId="733F7A17" w14:textId="77777777" w:rsidR="00161F40" w:rsidRPr="00FA486E" w:rsidRDefault="00C406B5" w:rsidP="00D0566F">
      <w:pPr>
        <w:pStyle w:val="Brdtext"/>
        <w:spacing w:line="360" w:lineRule="auto"/>
        <w:rPr>
          <w:lang w:val="en-GB"/>
        </w:rPr>
      </w:pPr>
      <w:r w:rsidRPr="00FA486E">
        <w:rPr>
          <w:lang w:val="en-GB"/>
        </w:rPr>
        <w:t>In trauma, misclassification is often referred to as mistriage. Triage refers to the classification of trauma severity as minor or major. Mistriage can be subdivided into overtriage, which is the incorrect classification of a patient with minor trauma as one with major trauma, or undertriage, which is the incorrect classification of a patient with major trauma as one with minor trauma. Mistriage can ultimately lead to decreased patient survival and is also detrimental to patient care and the distribution of resources [7].</w:t>
      </w:r>
    </w:p>
    <w:p w14:paraId="653BB3C6" w14:textId="2BC9391D" w:rsidR="001312BF" w:rsidRPr="00FA486E" w:rsidRDefault="006D2BA7" w:rsidP="00D0566F">
      <w:pPr>
        <w:pStyle w:val="Brdtext"/>
        <w:spacing w:line="360" w:lineRule="auto"/>
        <w:rPr>
          <w:lang w:val="en-GB"/>
        </w:rPr>
      </w:pPr>
      <w:r>
        <w:rPr>
          <w:lang w:val="en-GB"/>
        </w:rPr>
        <w:t>T</w:t>
      </w:r>
      <w:r w:rsidR="00C406B5" w:rsidRPr="00FA486E">
        <w:rPr>
          <w:lang w:val="en-GB"/>
        </w:rPr>
        <w:t xml:space="preserve">he </w:t>
      </w:r>
      <w:r w:rsidR="0007513D" w:rsidRPr="00A405BD">
        <w:rPr>
          <w:lang w:val="en-GB"/>
        </w:rPr>
        <w:t>effects</w:t>
      </w:r>
      <w:r w:rsidR="00C406B5" w:rsidRPr="00FA486E">
        <w:rPr>
          <w:lang w:val="en-GB"/>
        </w:rPr>
        <w:t xml:space="preserve"> of model transfers between care contexts within a single healthcare system, as well as the effect of such transfers on mistriage, have not been studied and represent substantial knowledge gaps. The aim of this study was to assess how transfers of clinical prediction models </w:t>
      </w:r>
      <w:r w:rsidR="00C406B5" w:rsidRPr="00FA486E">
        <w:rPr>
          <w:lang w:val="en-GB"/>
        </w:rPr>
        <w:lastRenderedPageBreak/>
        <w:t>for early trauma care between different care contexts within a single health system affect mistriage rates.</w:t>
      </w:r>
    </w:p>
    <w:p w14:paraId="3E6C90AA" w14:textId="77777777" w:rsidR="00161F40" w:rsidRPr="00FA486E" w:rsidRDefault="00C406B5" w:rsidP="00D0566F">
      <w:pPr>
        <w:pStyle w:val="Rubrik1"/>
        <w:spacing w:line="360" w:lineRule="auto"/>
        <w:rPr>
          <w:lang w:val="en-GB"/>
        </w:rPr>
      </w:pPr>
      <w:bookmarkStart w:id="0" w:name="materials-and-methods"/>
      <w:bookmarkEnd w:id="0"/>
      <w:r w:rsidRPr="00FA486E">
        <w:rPr>
          <w:lang w:val="en-GB"/>
        </w:rPr>
        <w:t>Materials and methods</w:t>
      </w:r>
    </w:p>
    <w:p w14:paraId="6FE4B8CD" w14:textId="477BE0AF" w:rsidR="00524553" w:rsidRDefault="00524553" w:rsidP="00D0566F">
      <w:pPr>
        <w:pStyle w:val="Rubrik2"/>
        <w:spacing w:line="360" w:lineRule="auto"/>
        <w:rPr>
          <w:lang w:val="en-GB"/>
        </w:rPr>
      </w:pPr>
      <w:bookmarkStart w:id="1" w:name="study-design"/>
      <w:bookmarkEnd w:id="1"/>
      <w:r>
        <w:rPr>
          <w:lang w:val="en-GB"/>
        </w:rPr>
        <w:t>Design</w:t>
      </w:r>
    </w:p>
    <w:p w14:paraId="76678791" w14:textId="48848E0F" w:rsidR="00524553" w:rsidRPr="00FA486E" w:rsidRDefault="00D32662" w:rsidP="00FA486E">
      <w:pPr>
        <w:pStyle w:val="Brdtext"/>
        <w:spacing w:line="360" w:lineRule="auto"/>
        <w:rPr>
          <w:lang w:val="en-GB"/>
        </w:rPr>
      </w:pPr>
      <w:r w:rsidRPr="00960229">
        <w:rPr>
          <w:lang w:val="en-GB"/>
        </w:rPr>
        <w:t xml:space="preserve">A registry-based cohort study was conducted </w:t>
      </w:r>
      <w:r>
        <w:rPr>
          <w:lang w:val="en-GB"/>
        </w:rPr>
        <w:t xml:space="preserve">using </w:t>
      </w:r>
      <w:r w:rsidR="00524553" w:rsidRPr="00960229">
        <w:rPr>
          <w:lang w:val="en-GB"/>
        </w:rPr>
        <w:t>SweTrau data to create clinical prediction models, which were then transferred between different care contexts to study the effects on mistriage. The study and analysis plans were made publicly available before the research was undertaken [</w:t>
      </w:r>
      <w:r w:rsidR="00524553">
        <w:rPr>
          <w:lang w:val="en-GB"/>
        </w:rPr>
        <w:t>10</w:t>
      </w:r>
      <w:r w:rsidR="00524553" w:rsidRPr="00960229">
        <w:rPr>
          <w:lang w:val="en-GB"/>
        </w:rPr>
        <w:t>].</w:t>
      </w:r>
    </w:p>
    <w:p w14:paraId="65F6AC83" w14:textId="61A0C4E8" w:rsidR="00161F40" w:rsidRPr="00FA486E" w:rsidRDefault="000158A5" w:rsidP="00D0566F">
      <w:pPr>
        <w:pStyle w:val="Rubrik2"/>
        <w:spacing w:line="360" w:lineRule="auto"/>
        <w:rPr>
          <w:lang w:val="en-GB"/>
        </w:rPr>
      </w:pPr>
      <w:r w:rsidRPr="00FA486E">
        <w:rPr>
          <w:lang w:val="en-GB"/>
        </w:rPr>
        <w:t>Source of data</w:t>
      </w:r>
    </w:p>
    <w:p w14:paraId="434506DD" w14:textId="6D547933" w:rsidR="00161F40" w:rsidRPr="00FA486E" w:rsidRDefault="00C406B5" w:rsidP="00D0566F">
      <w:pPr>
        <w:pStyle w:val="FirstParagraph"/>
        <w:spacing w:line="360" w:lineRule="auto"/>
        <w:rPr>
          <w:lang w:val="en-GB"/>
        </w:rPr>
      </w:pPr>
      <w:r w:rsidRPr="00FA486E">
        <w:rPr>
          <w:lang w:val="en-GB"/>
        </w:rPr>
        <w:t>Sweden</w:t>
      </w:r>
      <w:r w:rsidR="00D32662">
        <w:rPr>
          <w:lang w:val="en-GB"/>
        </w:rPr>
        <w:t xml:space="preserve"> has a</w:t>
      </w:r>
      <w:r w:rsidRPr="00FA486E">
        <w:rPr>
          <w:lang w:val="en-GB"/>
        </w:rPr>
        <w:t xml:space="preserve"> nationally encompassing trauma registry</w:t>
      </w:r>
      <w:r w:rsidR="00D32662">
        <w:rPr>
          <w:lang w:val="en-GB"/>
        </w:rPr>
        <w:t>,</w:t>
      </w:r>
      <w:r w:rsidRPr="00FA486E">
        <w:rPr>
          <w:lang w:val="en-GB"/>
        </w:rPr>
        <w:t xml:space="preserve"> SweTrau.</w:t>
      </w:r>
      <w:r w:rsidR="00DB0E90">
        <w:rPr>
          <w:lang w:val="en-GB"/>
        </w:rPr>
        <w:t xml:space="preserve"> At the time of the study, the register consisted of 55 000 trauma cases, recorded from 52 of Sweden´s 55 hospitals</w:t>
      </w:r>
      <w:r w:rsidR="00933FB1">
        <w:rPr>
          <w:lang w:val="en-GB"/>
        </w:rPr>
        <w:t xml:space="preserve"> [1</w:t>
      </w:r>
      <w:r w:rsidR="00524553">
        <w:rPr>
          <w:lang w:val="en-GB"/>
        </w:rPr>
        <w:t>1</w:t>
      </w:r>
      <w:r w:rsidR="00933FB1">
        <w:rPr>
          <w:lang w:val="en-GB"/>
        </w:rPr>
        <w:t>]</w:t>
      </w:r>
      <w:r w:rsidR="00DB0E90">
        <w:rPr>
          <w:lang w:val="en-GB"/>
        </w:rPr>
        <w:t>.</w:t>
      </w:r>
      <w:r w:rsidRPr="00FA486E">
        <w:rPr>
          <w:lang w:val="en-GB"/>
        </w:rPr>
        <w:t xml:space="preserve"> </w:t>
      </w:r>
    </w:p>
    <w:p w14:paraId="46E68A85" w14:textId="77777777" w:rsidR="00161F40" w:rsidRPr="00FA486E" w:rsidRDefault="00C406B5" w:rsidP="00D0566F">
      <w:pPr>
        <w:pStyle w:val="Rubrik2"/>
        <w:spacing w:line="360" w:lineRule="auto"/>
        <w:rPr>
          <w:lang w:val="en-GB"/>
        </w:rPr>
      </w:pPr>
      <w:bookmarkStart w:id="2" w:name="setting"/>
      <w:bookmarkStart w:id="3" w:name="participants"/>
      <w:bookmarkEnd w:id="2"/>
      <w:bookmarkEnd w:id="3"/>
      <w:r w:rsidRPr="00FA486E">
        <w:rPr>
          <w:lang w:val="en-GB"/>
        </w:rPr>
        <w:t>Participants</w:t>
      </w:r>
    </w:p>
    <w:p w14:paraId="155CDF85" w14:textId="3CF32898" w:rsidR="00161F40" w:rsidRPr="00FA486E" w:rsidRDefault="00C406B5" w:rsidP="00D0566F">
      <w:pPr>
        <w:pStyle w:val="FirstParagraph"/>
        <w:spacing w:line="360" w:lineRule="auto"/>
        <w:rPr>
          <w:lang w:val="en-GB"/>
        </w:rPr>
      </w:pPr>
      <w:r w:rsidRPr="00FA486E">
        <w:rPr>
          <w:lang w:val="en-GB"/>
        </w:rPr>
        <w:t xml:space="preserve">The eligibility criteria were adult patients aged 15 years or above registered in SweTrau between 2011 and 2016. </w:t>
      </w:r>
      <w:r w:rsidR="00DB0E90">
        <w:rPr>
          <w:lang w:val="en-GB"/>
        </w:rPr>
        <w:t xml:space="preserve">This time period was determined by the ethical approval. </w:t>
      </w:r>
      <w:r w:rsidRPr="00FA486E">
        <w:rPr>
          <w:lang w:val="en-GB"/>
        </w:rPr>
        <w:t xml:space="preserve">The study </w:t>
      </w:r>
      <w:r w:rsidR="00DB0E90">
        <w:rPr>
          <w:lang w:val="en-GB"/>
        </w:rPr>
        <w:t xml:space="preserve">focused on </w:t>
      </w:r>
      <w:r w:rsidRPr="00FA486E">
        <w:rPr>
          <w:lang w:val="en-GB"/>
        </w:rPr>
        <w:t xml:space="preserve">adult trauma and not paediatric trauma, which differs in physiology, triage and initial care [12]. The Swedish guidelines for trauma activation define children as individuals aged &lt;15 years [13]. </w:t>
      </w:r>
      <w:r w:rsidR="002A1341">
        <w:rPr>
          <w:lang w:val="en-GB"/>
        </w:rPr>
        <w:t>P</w:t>
      </w:r>
      <w:r w:rsidRPr="00FA486E">
        <w:rPr>
          <w:lang w:val="en-GB"/>
        </w:rPr>
        <w:t>atients with missing date and time of trauma were excluded.</w:t>
      </w:r>
    </w:p>
    <w:p w14:paraId="54E6323D" w14:textId="2353DCF2" w:rsidR="00E761DC" w:rsidRPr="00FA486E" w:rsidRDefault="00E761DC" w:rsidP="00FA486E">
      <w:pPr>
        <w:pStyle w:val="Brdtext"/>
        <w:spacing w:after="0"/>
        <w:rPr>
          <w:b/>
          <w:bCs/>
          <w:sz w:val="28"/>
          <w:szCs w:val="28"/>
          <w:lang w:val="en-GB"/>
        </w:rPr>
      </w:pPr>
      <w:r w:rsidRPr="00FA486E">
        <w:rPr>
          <w:b/>
          <w:bCs/>
          <w:sz w:val="28"/>
          <w:szCs w:val="28"/>
          <w:lang w:val="en-GB"/>
        </w:rPr>
        <w:t>Outcome</w:t>
      </w:r>
    </w:p>
    <w:p w14:paraId="3943E845" w14:textId="77777777" w:rsidR="00E761DC" w:rsidRPr="00FA486E" w:rsidRDefault="00E761DC" w:rsidP="00FA486E">
      <w:pPr>
        <w:pStyle w:val="Rubrik3"/>
        <w:spacing w:before="0" w:line="360" w:lineRule="auto"/>
        <w:rPr>
          <w:lang w:val="en-GB"/>
        </w:rPr>
      </w:pPr>
      <w:r w:rsidRPr="00FA486E">
        <w:rPr>
          <w:lang w:val="en-GB"/>
        </w:rPr>
        <w:t>Model outcome</w:t>
      </w:r>
    </w:p>
    <w:p w14:paraId="7D326160" w14:textId="5D5FFD3C" w:rsidR="00E761DC" w:rsidRPr="00FA486E" w:rsidRDefault="00E761DC" w:rsidP="00E761DC">
      <w:pPr>
        <w:pStyle w:val="FirstParagraph"/>
        <w:spacing w:line="360" w:lineRule="auto"/>
        <w:rPr>
          <w:lang w:val="en-GB"/>
        </w:rPr>
      </w:pPr>
      <w:r w:rsidRPr="00FA486E">
        <w:rPr>
          <w:lang w:val="en-GB"/>
        </w:rPr>
        <w:t>The outcome used to develop the clinical prediction models was all-cause mortality within 30 days of trauma.</w:t>
      </w:r>
      <w:r w:rsidR="00E7074B">
        <w:rPr>
          <w:lang w:val="en-GB"/>
        </w:rPr>
        <w:t xml:space="preserve"> This outcome was selected as many established prediction models </w:t>
      </w:r>
      <w:r w:rsidR="00E7074B">
        <w:rPr>
          <w:color w:val="000000"/>
        </w:rPr>
        <w:t>were developed with mortality as the outcome [</w:t>
      </w:r>
      <w:r w:rsidR="00041CF1">
        <w:rPr>
          <w:color w:val="000000"/>
        </w:rPr>
        <w:t>14-17</w:t>
      </w:r>
      <w:r w:rsidR="00E7074B">
        <w:rPr>
          <w:color w:val="000000"/>
        </w:rPr>
        <w:t>].</w:t>
      </w:r>
    </w:p>
    <w:p w14:paraId="10CE9691" w14:textId="77777777" w:rsidR="00E761DC" w:rsidRPr="00FA486E" w:rsidRDefault="00E761DC" w:rsidP="00E761DC">
      <w:pPr>
        <w:pStyle w:val="Rubrik3"/>
        <w:spacing w:line="360" w:lineRule="auto"/>
        <w:rPr>
          <w:lang w:val="en-GB"/>
        </w:rPr>
      </w:pPr>
      <w:r w:rsidRPr="00FA486E">
        <w:rPr>
          <w:lang w:val="en-GB"/>
        </w:rPr>
        <w:lastRenderedPageBreak/>
        <w:t>Study outcome</w:t>
      </w:r>
    </w:p>
    <w:p w14:paraId="223DD5E8" w14:textId="226C8707" w:rsidR="00E761DC" w:rsidRPr="00FA486E" w:rsidRDefault="00171F78" w:rsidP="00E761DC">
      <w:pPr>
        <w:pStyle w:val="FirstParagraph"/>
        <w:spacing w:line="360" w:lineRule="auto"/>
        <w:rPr>
          <w:lang w:val="en-GB"/>
        </w:rPr>
      </w:pPr>
      <w:r w:rsidRPr="00A405BD">
        <w:rPr>
          <w:lang w:val="en-GB"/>
        </w:rPr>
        <w:t>I</w:t>
      </w:r>
      <w:r w:rsidR="00383ACA">
        <w:rPr>
          <w:lang w:val="en-GB"/>
        </w:rPr>
        <w:t xml:space="preserve">njury </w:t>
      </w:r>
      <w:r w:rsidRPr="00A405BD">
        <w:rPr>
          <w:lang w:val="en-GB"/>
        </w:rPr>
        <w:t>S</w:t>
      </w:r>
      <w:r w:rsidR="00383ACA">
        <w:rPr>
          <w:lang w:val="en-GB"/>
        </w:rPr>
        <w:t xml:space="preserve">everity </w:t>
      </w:r>
      <w:r w:rsidRPr="00A405BD">
        <w:rPr>
          <w:lang w:val="en-GB"/>
        </w:rPr>
        <w:t>S</w:t>
      </w:r>
      <w:r w:rsidR="00383ACA">
        <w:rPr>
          <w:lang w:val="en-GB"/>
        </w:rPr>
        <w:t>core</w:t>
      </w:r>
      <w:r>
        <w:rPr>
          <w:lang w:val="en-GB"/>
        </w:rPr>
        <w:t xml:space="preserve"> (</w:t>
      </w:r>
      <w:r w:rsidR="00383ACA">
        <w:rPr>
          <w:lang w:val="en-GB"/>
        </w:rPr>
        <w:t>ISS</w:t>
      </w:r>
      <w:r w:rsidR="008B67BD">
        <w:rPr>
          <w:lang w:val="en-GB"/>
        </w:rPr>
        <w:t>)</w:t>
      </w:r>
      <w:r w:rsidR="00383ACA">
        <w:rPr>
          <w:lang w:val="en-GB"/>
        </w:rPr>
        <w:t xml:space="preserve"> is a common scoring system used to assess trauma severity. ISS </w:t>
      </w:r>
      <w:r w:rsidR="00383ACA" w:rsidRPr="00A405BD">
        <w:rPr>
          <w:lang w:val="en-GB"/>
        </w:rPr>
        <w:t>&gt;</w:t>
      </w:r>
      <w:r w:rsidR="00E761DC" w:rsidRPr="00FA486E">
        <w:rPr>
          <w:lang w:val="en-GB"/>
        </w:rPr>
        <w:t xml:space="preserve"> 15 was used as the gold standard to define trauma severity as major trauma</w:t>
      </w:r>
      <w:r w:rsidR="00DB0E90">
        <w:rPr>
          <w:lang w:val="en-GB"/>
        </w:rPr>
        <w:t>;</w:t>
      </w:r>
      <w:r w:rsidR="00E761DC" w:rsidRPr="00FA486E">
        <w:rPr>
          <w:lang w:val="en-GB"/>
        </w:rPr>
        <w:t xml:space="preserve"> patients with ISS &lt; 15 were considered to have minor trauma</w:t>
      </w:r>
      <w:r w:rsidR="00BA2601">
        <w:rPr>
          <w:lang w:val="en-GB"/>
        </w:rPr>
        <w:t xml:space="preserve"> </w:t>
      </w:r>
      <w:r w:rsidR="00E761DC" w:rsidRPr="00FA486E">
        <w:rPr>
          <w:lang w:val="en-GB"/>
        </w:rPr>
        <w:t>[1</w:t>
      </w:r>
      <w:r w:rsidR="00041CF1">
        <w:rPr>
          <w:lang w:val="en-GB"/>
        </w:rPr>
        <w:t>8</w:t>
      </w:r>
      <w:r w:rsidR="00E761DC" w:rsidRPr="00FA486E">
        <w:rPr>
          <w:lang w:val="en-GB"/>
        </w:rPr>
        <w:t>].</w:t>
      </w:r>
      <w:r w:rsidR="00BA2601">
        <w:rPr>
          <w:lang w:val="en-GB"/>
        </w:rPr>
        <w:t xml:space="preserve"> </w:t>
      </w:r>
      <w:r w:rsidR="00DB0E90">
        <w:rPr>
          <w:color w:val="000000"/>
        </w:rPr>
        <w:t>We used this cutoff because</w:t>
      </w:r>
      <w:r w:rsidR="00BA2601">
        <w:rPr>
          <w:color w:val="000000"/>
        </w:rPr>
        <w:t xml:space="preserve"> this is how major trauma is conventionally defined [</w:t>
      </w:r>
      <w:r w:rsidR="00041CF1">
        <w:rPr>
          <w:color w:val="000000"/>
        </w:rPr>
        <w:t>19</w:t>
      </w:r>
      <w:r w:rsidR="00BA2601">
        <w:rPr>
          <w:color w:val="000000"/>
        </w:rPr>
        <w:t xml:space="preserve">]. </w:t>
      </w:r>
      <w:r w:rsidR="00E761DC" w:rsidRPr="00FA486E">
        <w:rPr>
          <w:lang w:val="en-GB"/>
        </w:rPr>
        <w:t xml:space="preserve"> Overtriage was defined as the event when a clinical prediction model classified a patient with ISS </w:t>
      </w:r>
      <w:r w:rsidR="002A1341">
        <w:rPr>
          <w:lang w:val="en-GB"/>
        </w:rPr>
        <w:t>&lt;</w:t>
      </w:r>
      <w:r w:rsidR="00E761DC" w:rsidRPr="00FA486E">
        <w:rPr>
          <w:lang w:val="en-GB"/>
        </w:rPr>
        <w:t xml:space="preserve"> 15 as having major trauma</w:t>
      </w:r>
      <w:r w:rsidR="00DB0E90">
        <w:rPr>
          <w:lang w:val="en-GB"/>
        </w:rPr>
        <w:t>.</w:t>
      </w:r>
      <w:r w:rsidR="00E761DC" w:rsidRPr="00FA486E">
        <w:rPr>
          <w:lang w:val="en-GB"/>
        </w:rPr>
        <w:t xml:space="preserve"> </w:t>
      </w:r>
      <w:r w:rsidR="00DB0E90">
        <w:rPr>
          <w:lang w:val="en-GB"/>
        </w:rPr>
        <w:t>U</w:t>
      </w:r>
      <w:r w:rsidR="00E761DC" w:rsidRPr="00FA486E">
        <w:rPr>
          <w:lang w:val="en-GB"/>
        </w:rPr>
        <w:t>ndertriage was defined as the event when a clinical prediction model classified a patient with ISS &gt; 15 as having minor trauma.</w:t>
      </w:r>
      <w:r w:rsidR="00684103">
        <w:rPr>
          <w:lang w:val="en-GB"/>
        </w:rPr>
        <w:t xml:space="preserve"> </w:t>
      </w:r>
      <w:r w:rsidR="00E761DC" w:rsidRPr="00FA486E">
        <w:rPr>
          <w:lang w:val="en-GB"/>
        </w:rPr>
        <w:t xml:space="preserve">The overtriage rate was defined as the number of </w:t>
      </w:r>
      <w:proofErr w:type="spellStart"/>
      <w:r w:rsidR="00E761DC" w:rsidRPr="00FA486E">
        <w:rPr>
          <w:lang w:val="en-GB"/>
        </w:rPr>
        <w:t>overtriaged</w:t>
      </w:r>
      <w:proofErr w:type="spellEnd"/>
      <w:r w:rsidR="00E761DC" w:rsidRPr="00FA486E">
        <w:rPr>
          <w:lang w:val="en-GB"/>
        </w:rPr>
        <w:t xml:space="preserve"> patients divided by the total number of patients.</w:t>
      </w:r>
      <w:r w:rsidR="00684103">
        <w:rPr>
          <w:lang w:val="en-GB"/>
        </w:rPr>
        <w:t xml:space="preserve"> </w:t>
      </w:r>
      <w:r w:rsidR="00E761DC" w:rsidRPr="00FA486E">
        <w:rPr>
          <w:lang w:val="en-GB"/>
        </w:rPr>
        <w:t xml:space="preserve">The undertriage rate was defined as the number of </w:t>
      </w:r>
      <w:proofErr w:type="spellStart"/>
      <w:r w:rsidR="00E761DC" w:rsidRPr="00FA486E">
        <w:rPr>
          <w:lang w:val="en-GB"/>
        </w:rPr>
        <w:t>undertriaged</w:t>
      </w:r>
      <w:proofErr w:type="spellEnd"/>
      <w:r w:rsidR="00E761DC" w:rsidRPr="00FA486E">
        <w:rPr>
          <w:lang w:val="en-GB"/>
        </w:rPr>
        <w:t xml:space="preserve"> patients divided by the total number of </w:t>
      </w:r>
      <w:r w:rsidR="008213A4">
        <w:rPr>
          <w:lang w:val="en-GB"/>
        </w:rPr>
        <w:t xml:space="preserve">major trauma </w:t>
      </w:r>
      <w:r w:rsidR="00E761DC" w:rsidRPr="00FA486E">
        <w:rPr>
          <w:lang w:val="en-GB"/>
        </w:rPr>
        <w:t>patients. The mistriage rate was defined as the sum of the over- and undertriage rates.</w:t>
      </w:r>
      <w:r w:rsidR="00684103">
        <w:rPr>
          <w:lang w:val="en-GB"/>
        </w:rPr>
        <w:t xml:space="preserve"> </w:t>
      </w:r>
    </w:p>
    <w:p w14:paraId="26F7A492" w14:textId="576913DA" w:rsidR="00161F40" w:rsidRPr="00FA486E" w:rsidRDefault="00E761DC" w:rsidP="00D0566F">
      <w:pPr>
        <w:pStyle w:val="Rubrik2"/>
        <w:spacing w:line="360" w:lineRule="auto"/>
        <w:rPr>
          <w:lang w:val="en-GB"/>
        </w:rPr>
      </w:pPr>
      <w:bookmarkStart w:id="4" w:name="variables"/>
      <w:bookmarkEnd w:id="4"/>
      <w:r w:rsidRPr="00FA486E">
        <w:rPr>
          <w:lang w:val="en-GB"/>
        </w:rPr>
        <w:t>Predictors</w:t>
      </w:r>
    </w:p>
    <w:p w14:paraId="5F2E1AF5" w14:textId="77777777" w:rsidR="00161F40" w:rsidRPr="00FA486E" w:rsidRDefault="00C406B5" w:rsidP="00D0566F">
      <w:pPr>
        <w:pStyle w:val="Rubrik3"/>
        <w:spacing w:line="360" w:lineRule="auto"/>
        <w:rPr>
          <w:lang w:val="en-GB"/>
        </w:rPr>
      </w:pPr>
      <w:bookmarkStart w:id="5" w:name="participant-characteristics"/>
      <w:bookmarkStart w:id="6" w:name="model-predictors"/>
      <w:bookmarkEnd w:id="5"/>
      <w:bookmarkEnd w:id="6"/>
      <w:r w:rsidRPr="00FA486E">
        <w:rPr>
          <w:lang w:val="en-GB"/>
        </w:rPr>
        <w:t>Model predictors</w:t>
      </w:r>
    </w:p>
    <w:p w14:paraId="06CCFF53" w14:textId="0A4B8743" w:rsidR="00161F40" w:rsidRPr="00FA486E" w:rsidRDefault="00C406B5" w:rsidP="00D0566F">
      <w:pPr>
        <w:pStyle w:val="FirstParagraph"/>
        <w:spacing w:line="360" w:lineRule="auto"/>
        <w:rPr>
          <w:lang w:val="en-GB"/>
        </w:rPr>
      </w:pPr>
      <w:r w:rsidRPr="00FA486E">
        <w:rPr>
          <w:lang w:val="en-GB"/>
        </w:rPr>
        <w:t>The clinical prediction models used the following predictors on arrival at the hospital: systolic blood pressure (SBP), respiratory rate (RR) and Glasgow coma scale (GCS). The rationale for using these three predictors is that they are part of multiple established clinical prediction models for early trauma care, such as the Revised Trauma Score [</w:t>
      </w:r>
      <w:r w:rsidR="00041CF1">
        <w:rPr>
          <w:lang w:val="en-GB"/>
        </w:rPr>
        <w:t>2</w:t>
      </w:r>
      <w:r w:rsidR="00C31725">
        <w:rPr>
          <w:lang w:val="en-GB"/>
        </w:rPr>
        <w:t>0</w:t>
      </w:r>
      <w:r w:rsidRPr="00FA486E">
        <w:rPr>
          <w:lang w:val="en-GB"/>
        </w:rPr>
        <w:t>].</w:t>
      </w:r>
    </w:p>
    <w:p w14:paraId="4DDA5BE9" w14:textId="77777777" w:rsidR="00965ADD" w:rsidRPr="00FA486E" w:rsidRDefault="00965ADD" w:rsidP="007B5F4D">
      <w:pPr>
        <w:pStyle w:val="Rubrik2"/>
        <w:spacing w:line="360" w:lineRule="auto"/>
        <w:rPr>
          <w:b w:val="0"/>
          <w:bCs w:val="0"/>
          <w:i/>
          <w:iCs/>
          <w:sz w:val="24"/>
          <w:szCs w:val="24"/>
          <w:lang w:val="en-GB"/>
        </w:rPr>
      </w:pPr>
      <w:r w:rsidRPr="00FA486E">
        <w:rPr>
          <w:b w:val="0"/>
          <w:bCs w:val="0"/>
          <w:i/>
          <w:iCs/>
          <w:sz w:val="24"/>
          <w:szCs w:val="24"/>
          <w:lang w:val="en-GB"/>
        </w:rPr>
        <w:t>Data sources and measurements</w:t>
      </w:r>
    </w:p>
    <w:p w14:paraId="4D04DAAD" w14:textId="3F9F5735" w:rsidR="00965ADD" w:rsidRPr="00FA486E" w:rsidRDefault="00965ADD" w:rsidP="000D24D6">
      <w:pPr>
        <w:pStyle w:val="FirstParagraph"/>
        <w:spacing w:line="360" w:lineRule="auto"/>
        <w:rPr>
          <w:lang w:val="en-GB"/>
        </w:rPr>
      </w:pPr>
      <w:r w:rsidRPr="00FA486E">
        <w:rPr>
          <w:lang w:val="en-GB"/>
        </w:rPr>
        <w:t xml:space="preserve">Model predictors, outcome, participant characteristics and study outcome as outlined above were all obtained from SweTrau. The method of measurement of the model predictors is not specified in the registry entries. In Swedish emergency rooms, </w:t>
      </w:r>
      <w:r w:rsidR="002A1341">
        <w:rPr>
          <w:lang w:val="en-GB"/>
        </w:rPr>
        <w:t>patient</w:t>
      </w:r>
      <w:r w:rsidRPr="00FA486E">
        <w:rPr>
          <w:lang w:val="en-GB"/>
        </w:rPr>
        <w:t xml:space="preserve"> parameters are usually obtained by a registered nurse or assistant nurse and are assumed to be accurate.</w:t>
      </w:r>
    </w:p>
    <w:p w14:paraId="75478381" w14:textId="77777777" w:rsidR="00965ADD" w:rsidRPr="00FA486E" w:rsidRDefault="00965ADD" w:rsidP="000D24D6">
      <w:pPr>
        <w:pStyle w:val="Rubrik2"/>
        <w:spacing w:line="360" w:lineRule="auto"/>
        <w:rPr>
          <w:b w:val="0"/>
          <w:bCs w:val="0"/>
          <w:i/>
          <w:iCs/>
          <w:sz w:val="24"/>
          <w:szCs w:val="24"/>
          <w:lang w:val="en-GB"/>
        </w:rPr>
      </w:pPr>
      <w:r w:rsidRPr="00FA486E">
        <w:rPr>
          <w:b w:val="0"/>
          <w:bCs w:val="0"/>
          <w:i/>
          <w:iCs/>
          <w:sz w:val="24"/>
          <w:szCs w:val="24"/>
          <w:lang w:val="en-GB"/>
        </w:rPr>
        <w:t>Quantitative variables</w:t>
      </w:r>
    </w:p>
    <w:p w14:paraId="4B3C3B66" w14:textId="538CDBBB" w:rsidR="00965ADD" w:rsidRPr="00FA486E" w:rsidRDefault="00965ADD" w:rsidP="00FA486E">
      <w:pPr>
        <w:pStyle w:val="Brdtext"/>
        <w:spacing w:line="360" w:lineRule="auto"/>
        <w:rPr>
          <w:lang w:val="en-GB"/>
        </w:rPr>
      </w:pPr>
      <w:r w:rsidRPr="00FA486E">
        <w:rPr>
          <w:lang w:val="en-GB"/>
        </w:rPr>
        <w:t xml:space="preserve">GCS, SBP, and RR were modelled as continuous linear terms. In the original study plan it was specified that SBP and RR would be modelled using restricted cubic splines with four knots. This approach however resulted in an unstable imputation model and we therefore decided to simplify the analysis model. ISS was presented as dichotomous, using ISS &gt; 15 as the </w:t>
      </w:r>
      <w:proofErr w:type="spellStart"/>
      <w:r w:rsidRPr="00FA486E">
        <w:rPr>
          <w:lang w:val="en-GB"/>
        </w:rPr>
        <w:t>cutoff</w:t>
      </w:r>
      <w:proofErr w:type="spellEnd"/>
      <w:r w:rsidRPr="00FA486E">
        <w:rPr>
          <w:lang w:val="en-GB"/>
        </w:rPr>
        <w:t>.</w:t>
      </w:r>
    </w:p>
    <w:p w14:paraId="4959687A" w14:textId="5B9CCBA2" w:rsidR="008A3CE1" w:rsidRPr="00FA486E" w:rsidRDefault="008A3CE1" w:rsidP="007B5F4D">
      <w:pPr>
        <w:pStyle w:val="Rubrik2"/>
        <w:spacing w:line="360" w:lineRule="auto"/>
        <w:rPr>
          <w:lang w:val="en-GB"/>
        </w:rPr>
      </w:pPr>
      <w:bookmarkStart w:id="7" w:name="model-outcome"/>
      <w:bookmarkStart w:id="8" w:name="study-outcome"/>
      <w:bookmarkEnd w:id="7"/>
      <w:bookmarkEnd w:id="8"/>
      <w:r w:rsidRPr="00FA486E">
        <w:rPr>
          <w:lang w:val="en-GB"/>
        </w:rPr>
        <w:lastRenderedPageBreak/>
        <w:t>Sample size</w:t>
      </w:r>
    </w:p>
    <w:p w14:paraId="4260E2D8" w14:textId="2E122F83" w:rsidR="008A3CE1" w:rsidRPr="00FA486E" w:rsidRDefault="008A3CE1" w:rsidP="00FA486E">
      <w:pPr>
        <w:pStyle w:val="Brdtext"/>
        <w:spacing w:line="360" w:lineRule="auto"/>
        <w:rPr>
          <w:lang w:val="en-GB"/>
        </w:rPr>
      </w:pPr>
      <w:r w:rsidRPr="00FA486E">
        <w:rPr>
          <w:lang w:val="en-GB"/>
        </w:rPr>
        <w:t xml:space="preserve">All patients matching the eligibility criteria were included. </w:t>
      </w:r>
      <w:r w:rsidR="00D40614">
        <w:rPr>
          <w:lang w:val="en-GB"/>
        </w:rPr>
        <w:t>Three</w:t>
      </w:r>
      <w:r w:rsidRPr="00FA486E">
        <w:rPr>
          <w:lang w:val="en-GB"/>
        </w:rPr>
        <w:t xml:space="preserve"> dataset</w:t>
      </w:r>
      <w:r w:rsidR="00171F78">
        <w:rPr>
          <w:lang w:val="en-GB"/>
        </w:rPr>
        <w:t xml:space="preserve"> groups</w:t>
      </w:r>
      <w:r w:rsidRPr="00FA486E">
        <w:rPr>
          <w:lang w:val="en-GB"/>
        </w:rPr>
        <w:t xml:space="preserve"> were used to study the transfer of clinical prediction models, with each dataset</w:t>
      </w:r>
      <w:r w:rsidR="00171F78">
        <w:rPr>
          <w:lang w:val="en-GB"/>
        </w:rPr>
        <w:t xml:space="preserve"> group</w:t>
      </w:r>
      <w:r w:rsidRPr="00FA486E">
        <w:rPr>
          <w:lang w:val="en-GB"/>
        </w:rPr>
        <w:t xml:space="preserve"> representing a different care context. The dataset</w:t>
      </w:r>
      <w:r w:rsidR="00171F78">
        <w:rPr>
          <w:lang w:val="en-GB"/>
        </w:rPr>
        <w:t xml:space="preserve"> groups</w:t>
      </w:r>
      <w:r w:rsidRPr="00FA486E">
        <w:rPr>
          <w:lang w:val="en-GB"/>
        </w:rPr>
        <w:t xml:space="preserve"> and sample size considerations are outlined below.</w:t>
      </w:r>
    </w:p>
    <w:p w14:paraId="0CC55415" w14:textId="77777777" w:rsidR="008A3CE1" w:rsidRPr="00FA486E" w:rsidRDefault="008A3CE1" w:rsidP="007B5F4D">
      <w:pPr>
        <w:pStyle w:val="Rubrik3"/>
        <w:spacing w:line="360" w:lineRule="auto"/>
        <w:rPr>
          <w:b/>
          <w:bCs w:val="0"/>
          <w:i w:val="0"/>
          <w:iCs/>
          <w:sz w:val="28"/>
          <w:lang w:val="en-GB"/>
        </w:rPr>
      </w:pPr>
      <w:r w:rsidRPr="00FA486E">
        <w:rPr>
          <w:b/>
          <w:bCs w:val="0"/>
          <w:i w:val="0"/>
          <w:iCs/>
          <w:sz w:val="28"/>
          <w:lang w:val="en-GB"/>
        </w:rPr>
        <w:t>Missing data</w:t>
      </w:r>
    </w:p>
    <w:p w14:paraId="04C752E8" w14:textId="634F746C" w:rsidR="00161F40" w:rsidRPr="00FA486E" w:rsidRDefault="008A3CE1" w:rsidP="00D0566F">
      <w:pPr>
        <w:pStyle w:val="FirstParagraph"/>
        <w:spacing w:line="360" w:lineRule="auto"/>
        <w:rPr>
          <w:lang w:val="en-GB"/>
        </w:rPr>
      </w:pPr>
      <w:r w:rsidRPr="00FA486E">
        <w:rPr>
          <w:lang w:val="en-GB"/>
        </w:rPr>
        <w:t>We used multiple imputation using chained equations (mice) to handle missing data [2</w:t>
      </w:r>
      <w:r w:rsidR="00C31725">
        <w:rPr>
          <w:lang w:val="en-GB"/>
        </w:rPr>
        <w:t>1</w:t>
      </w:r>
      <w:r w:rsidRPr="00FA486E">
        <w:rPr>
          <w:lang w:val="en-GB"/>
        </w:rPr>
        <w:t>].</w:t>
      </w:r>
      <w:r w:rsidR="008B5D36">
        <w:rPr>
          <w:lang w:val="en-GB"/>
        </w:rPr>
        <w:t xml:space="preserve"> Each </w:t>
      </w:r>
      <w:r w:rsidR="00DB0E90">
        <w:rPr>
          <w:lang w:val="en-GB"/>
        </w:rPr>
        <w:t xml:space="preserve">development and validation </w:t>
      </w:r>
      <w:r w:rsidR="008B5D36">
        <w:rPr>
          <w:lang w:val="en-GB"/>
        </w:rPr>
        <w:t xml:space="preserve">sample </w:t>
      </w:r>
      <w:proofErr w:type="gramStart"/>
      <w:r w:rsidR="008B5D36">
        <w:rPr>
          <w:lang w:val="en-GB"/>
        </w:rPr>
        <w:t>was</w:t>
      </w:r>
      <w:proofErr w:type="gramEnd"/>
      <w:r w:rsidR="008B5D36">
        <w:rPr>
          <w:lang w:val="en-GB"/>
        </w:rPr>
        <w:t xml:space="preserve"> imputed separately and</w:t>
      </w:r>
      <w:r w:rsidRPr="00FA486E">
        <w:rPr>
          <w:lang w:val="en-GB"/>
        </w:rPr>
        <w:t xml:space="preserve"> </w:t>
      </w:r>
      <w:r w:rsidR="008B5D36">
        <w:rPr>
          <w:lang w:val="en-GB"/>
        </w:rPr>
        <w:t>t</w:t>
      </w:r>
      <w:r w:rsidRPr="00FA486E">
        <w:rPr>
          <w:lang w:val="en-GB"/>
        </w:rPr>
        <w:t xml:space="preserve">he number of imputations created for each </w:t>
      </w:r>
      <w:r w:rsidR="003A6E7E">
        <w:rPr>
          <w:lang w:val="en-GB"/>
        </w:rPr>
        <w:t>sample</w:t>
      </w:r>
      <w:r w:rsidRPr="00FA486E">
        <w:rPr>
          <w:lang w:val="en-GB"/>
        </w:rPr>
        <w:t xml:space="preserve"> was equal to the highest percentage of missing data in that </w:t>
      </w:r>
      <w:r w:rsidR="00DB0E90">
        <w:rPr>
          <w:lang w:val="en-GB"/>
        </w:rPr>
        <w:t>dataset group</w:t>
      </w:r>
      <w:r w:rsidRPr="00FA486E">
        <w:rPr>
          <w:lang w:val="en-GB"/>
        </w:rPr>
        <w:t xml:space="preserve">. Quantitative variables were imputed using predictive mean matching, and qualitative variables were imputed using logistic regression. All analyses were then conducted separately in each imputed </w:t>
      </w:r>
      <w:r w:rsidR="003A6E7E">
        <w:rPr>
          <w:lang w:val="en-GB"/>
        </w:rPr>
        <w:t>sample</w:t>
      </w:r>
      <w:r w:rsidRPr="00FA486E">
        <w:rPr>
          <w:lang w:val="en-GB"/>
        </w:rPr>
        <w:t>.</w:t>
      </w:r>
      <w:bookmarkStart w:id="9" w:name="data-sources-and-measurements"/>
      <w:bookmarkStart w:id="10" w:name="bias"/>
      <w:bookmarkEnd w:id="9"/>
      <w:bookmarkEnd w:id="10"/>
    </w:p>
    <w:p w14:paraId="046D9ADD" w14:textId="429A4925" w:rsidR="00161F40" w:rsidRPr="00FA486E" w:rsidRDefault="00C406B5" w:rsidP="00FA486E">
      <w:pPr>
        <w:pStyle w:val="FirstParagraph"/>
        <w:spacing w:line="360" w:lineRule="auto"/>
        <w:rPr>
          <w:lang w:val="en-GB"/>
        </w:rPr>
      </w:pPr>
      <w:bookmarkStart w:id="11" w:name="study-size"/>
      <w:bookmarkStart w:id="12" w:name="quantitative-variables"/>
      <w:bookmarkStart w:id="13" w:name="statistical-methods"/>
      <w:bookmarkEnd w:id="11"/>
      <w:bookmarkEnd w:id="12"/>
      <w:bookmarkEnd w:id="13"/>
      <w:r w:rsidRPr="00FA486E">
        <w:rPr>
          <w:b/>
          <w:bCs/>
          <w:sz w:val="28"/>
          <w:szCs w:val="28"/>
          <w:lang w:val="en-GB"/>
        </w:rPr>
        <w:t>Statistical</w:t>
      </w:r>
      <w:r w:rsidR="00940DB6" w:rsidRPr="00FA486E">
        <w:rPr>
          <w:b/>
          <w:bCs/>
          <w:sz w:val="28"/>
          <w:szCs w:val="28"/>
          <w:lang w:val="en-GB"/>
        </w:rPr>
        <w:t xml:space="preserve"> analysis</w:t>
      </w:r>
      <w:r w:rsidRPr="00FA486E">
        <w:rPr>
          <w:b/>
          <w:bCs/>
          <w:sz w:val="28"/>
          <w:szCs w:val="28"/>
          <w:lang w:val="en-GB"/>
        </w:rPr>
        <w:t xml:space="preserve"> methods</w:t>
      </w:r>
    </w:p>
    <w:p w14:paraId="7BDAC93A" w14:textId="72905CB8" w:rsidR="00161F40" w:rsidRPr="00FA486E" w:rsidRDefault="00C406B5" w:rsidP="00D0566F">
      <w:pPr>
        <w:pStyle w:val="Rubrik3"/>
        <w:spacing w:line="360" w:lineRule="auto"/>
        <w:rPr>
          <w:lang w:val="en-GB"/>
        </w:rPr>
      </w:pPr>
      <w:bookmarkStart w:id="14" w:name="data-sets"/>
      <w:bookmarkEnd w:id="14"/>
      <w:r w:rsidRPr="00FA486E">
        <w:rPr>
          <w:lang w:val="en-GB"/>
        </w:rPr>
        <w:t>Dataset</w:t>
      </w:r>
      <w:r w:rsidR="00171F78">
        <w:rPr>
          <w:lang w:val="en-GB"/>
        </w:rPr>
        <w:t xml:space="preserve"> groups</w:t>
      </w:r>
    </w:p>
    <w:p w14:paraId="1366B813" w14:textId="64F2BBCB" w:rsidR="00161F40" w:rsidRPr="00FA486E" w:rsidRDefault="00C406B5" w:rsidP="00D0566F">
      <w:pPr>
        <w:pStyle w:val="FirstParagraph"/>
        <w:spacing w:line="360" w:lineRule="auto"/>
        <w:rPr>
          <w:lang w:val="en-GB"/>
        </w:rPr>
      </w:pPr>
      <w:r w:rsidRPr="00FA486E">
        <w:rPr>
          <w:lang w:val="en-GB"/>
        </w:rPr>
        <w:t xml:space="preserve">The complete SweTrau cohort was split into three overlapping </w:t>
      </w:r>
      <w:r w:rsidR="00171F78">
        <w:rPr>
          <w:lang w:val="en-GB"/>
        </w:rPr>
        <w:t>groups</w:t>
      </w:r>
      <w:r w:rsidRPr="00FA486E">
        <w:rPr>
          <w:lang w:val="en-GB"/>
        </w:rPr>
        <w:t xml:space="preserve"> of data,</w:t>
      </w:r>
      <w:r w:rsidR="00304570">
        <w:rPr>
          <w:lang w:val="en-GB"/>
        </w:rPr>
        <w:t xml:space="preserve"> each drawn from the complete patient cohort, and</w:t>
      </w:r>
      <w:r w:rsidRPr="00FA486E">
        <w:rPr>
          <w:lang w:val="en-GB"/>
        </w:rPr>
        <w:t xml:space="preserve"> each representing a plausible care context</w:t>
      </w:r>
      <w:r w:rsidR="009C7F8F">
        <w:rPr>
          <w:lang w:val="en-GB"/>
        </w:rPr>
        <w:t xml:space="preserve">.  </w:t>
      </w:r>
      <w:r w:rsidRPr="00FA486E">
        <w:rPr>
          <w:lang w:val="en-GB"/>
        </w:rPr>
        <w:t>These dataset</w:t>
      </w:r>
      <w:r w:rsidR="00CE11B5">
        <w:rPr>
          <w:lang w:val="en-GB"/>
        </w:rPr>
        <w:t xml:space="preserve"> groups</w:t>
      </w:r>
      <w:r w:rsidRPr="00FA486E">
        <w:rPr>
          <w:lang w:val="en-GB"/>
        </w:rPr>
        <w:t xml:space="preserve"> were further divided into </w:t>
      </w:r>
      <w:r w:rsidR="00CE11B5">
        <w:rPr>
          <w:lang w:val="en-GB"/>
        </w:rPr>
        <w:t>datasets</w:t>
      </w:r>
      <w:r w:rsidR="009C7F8F">
        <w:rPr>
          <w:lang w:val="en-GB"/>
        </w:rPr>
        <w:t xml:space="preserve"> </w:t>
      </w:r>
      <w:r w:rsidRPr="00FA486E">
        <w:rPr>
          <w:lang w:val="en-GB"/>
        </w:rPr>
        <w:t>as follows:</w:t>
      </w:r>
    </w:p>
    <w:p w14:paraId="66B06A12" w14:textId="4F1B4119" w:rsidR="00161F40" w:rsidRPr="00FA486E" w:rsidRDefault="00C406B5" w:rsidP="00D0566F">
      <w:pPr>
        <w:pStyle w:val="Rubrik3"/>
        <w:spacing w:line="360" w:lineRule="auto"/>
        <w:rPr>
          <w:lang w:val="en-GB"/>
        </w:rPr>
      </w:pPr>
      <w:bookmarkStart w:id="15" w:name="data-set-1-high--and-low-volume-centres"/>
      <w:bookmarkEnd w:id="15"/>
      <w:r w:rsidRPr="00FA486E">
        <w:rPr>
          <w:lang w:val="en-GB"/>
        </w:rPr>
        <w:t>Dataset</w:t>
      </w:r>
      <w:r w:rsidR="00CE11B5">
        <w:rPr>
          <w:lang w:val="en-GB"/>
        </w:rPr>
        <w:t xml:space="preserve"> group</w:t>
      </w:r>
      <w:r w:rsidRPr="00FA486E">
        <w:rPr>
          <w:lang w:val="en-GB"/>
        </w:rPr>
        <w:t xml:space="preserve"> 1: High- and low-volume centres</w:t>
      </w:r>
    </w:p>
    <w:p w14:paraId="18E22516" w14:textId="639D3A91" w:rsidR="00161F40" w:rsidRPr="00FA486E" w:rsidRDefault="00C406B5" w:rsidP="00D0566F">
      <w:pPr>
        <w:pStyle w:val="FirstParagraph"/>
        <w:spacing w:line="360" w:lineRule="auto"/>
        <w:rPr>
          <w:lang w:val="en-GB"/>
        </w:rPr>
      </w:pPr>
      <w:r w:rsidRPr="00FA486E">
        <w:rPr>
          <w:lang w:val="en-GB"/>
        </w:rPr>
        <w:t xml:space="preserve">Two </w:t>
      </w:r>
      <w:r w:rsidR="00CE11B5">
        <w:rPr>
          <w:lang w:val="en-GB"/>
        </w:rPr>
        <w:t>datasets</w:t>
      </w:r>
      <w:r w:rsidRPr="00FA486E">
        <w:rPr>
          <w:lang w:val="en-GB"/>
        </w:rPr>
        <w:t xml:space="preserve"> were derived from the SweTrau cohort based on the number of patients</w:t>
      </w:r>
      <w:r w:rsidR="00C1298F">
        <w:rPr>
          <w:lang w:val="en-GB"/>
        </w:rPr>
        <w:t xml:space="preserve"> received by each centre</w:t>
      </w:r>
      <w:r w:rsidRPr="00FA486E">
        <w:rPr>
          <w:lang w:val="en-GB"/>
        </w:rPr>
        <w:t>. High-volume centres were those within the top quartile in terms of the number of patients received. The rest were</w:t>
      </w:r>
      <w:r w:rsidR="00C1298F">
        <w:rPr>
          <w:lang w:val="en-GB"/>
        </w:rPr>
        <w:t xml:space="preserve"> considered</w:t>
      </w:r>
      <w:r w:rsidRPr="00FA486E">
        <w:rPr>
          <w:lang w:val="en-GB"/>
        </w:rPr>
        <w:t xml:space="preserve"> low-volume centres.</w:t>
      </w:r>
    </w:p>
    <w:p w14:paraId="36B569BA" w14:textId="21DCA864" w:rsidR="00161F40" w:rsidRPr="00FA486E" w:rsidRDefault="00C406B5" w:rsidP="00D0566F">
      <w:pPr>
        <w:pStyle w:val="Rubrik3"/>
        <w:spacing w:line="360" w:lineRule="auto"/>
        <w:rPr>
          <w:lang w:val="en-GB"/>
        </w:rPr>
      </w:pPr>
      <w:bookmarkStart w:id="16" w:name="data-set-2-metropolitan-and-non-metropol"/>
      <w:bookmarkEnd w:id="16"/>
      <w:r w:rsidRPr="00FA486E">
        <w:rPr>
          <w:lang w:val="en-GB"/>
        </w:rPr>
        <w:t>Dataset</w:t>
      </w:r>
      <w:r w:rsidR="00CE11B5">
        <w:rPr>
          <w:lang w:val="en-GB"/>
        </w:rPr>
        <w:t xml:space="preserve"> group</w:t>
      </w:r>
      <w:r w:rsidRPr="00FA486E">
        <w:rPr>
          <w:lang w:val="en-GB"/>
        </w:rPr>
        <w:t xml:space="preserve"> 2: Metropolitan and non-metropolitan centres</w:t>
      </w:r>
    </w:p>
    <w:p w14:paraId="68A5C8E7" w14:textId="28DFDAF6" w:rsidR="00161F40" w:rsidRPr="00FA486E" w:rsidRDefault="00C406B5" w:rsidP="00D0566F">
      <w:pPr>
        <w:pStyle w:val="FirstParagraph"/>
        <w:spacing w:line="360" w:lineRule="auto"/>
        <w:rPr>
          <w:lang w:val="en-GB"/>
        </w:rPr>
      </w:pPr>
      <w:r w:rsidRPr="00FA486E">
        <w:rPr>
          <w:lang w:val="en-GB"/>
        </w:rPr>
        <w:t>This dataset</w:t>
      </w:r>
      <w:r w:rsidR="00CE11B5">
        <w:rPr>
          <w:lang w:val="en-GB"/>
        </w:rPr>
        <w:t xml:space="preserve"> group</w:t>
      </w:r>
      <w:r w:rsidRPr="00FA486E">
        <w:rPr>
          <w:lang w:val="en-GB"/>
        </w:rPr>
        <w:t xml:space="preserve"> </w:t>
      </w:r>
      <w:r w:rsidR="00C1298F">
        <w:rPr>
          <w:lang w:val="en-GB"/>
        </w:rPr>
        <w:t>also</w:t>
      </w:r>
      <w:r w:rsidR="00C1298F" w:rsidRPr="00FA486E">
        <w:rPr>
          <w:lang w:val="en-GB"/>
        </w:rPr>
        <w:t xml:space="preserve"> </w:t>
      </w:r>
      <w:r w:rsidR="00C1298F">
        <w:rPr>
          <w:lang w:val="en-GB"/>
        </w:rPr>
        <w:t>included</w:t>
      </w:r>
      <w:r w:rsidRPr="00FA486E">
        <w:rPr>
          <w:lang w:val="en-GB"/>
        </w:rPr>
        <w:t xml:space="preserve"> two </w:t>
      </w:r>
      <w:r w:rsidR="00CE11B5">
        <w:rPr>
          <w:lang w:val="en-GB"/>
        </w:rPr>
        <w:t>datasets</w:t>
      </w:r>
      <w:r w:rsidRPr="00FA486E">
        <w:rPr>
          <w:lang w:val="en-GB"/>
        </w:rPr>
        <w:t xml:space="preserve">: a metropolitan </w:t>
      </w:r>
      <w:r w:rsidR="00C1298F">
        <w:rPr>
          <w:lang w:val="en-GB"/>
        </w:rPr>
        <w:t>dataset</w:t>
      </w:r>
      <w:r w:rsidRPr="00FA486E">
        <w:rPr>
          <w:lang w:val="en-GB"/>
        </w:rPr>
        <w:t xml:space="preserve"> consisting of patients from greater Stockholm, greater Gothenburg and greater Malm</w:t>
      </w:r>
      <w:r w:rsidR="001D3A87" w:rsidRPr="00FA486E">
        <w:rPr>
          <w:lang w:val="en-GB"/>
        </w:rPr>
        <w:t>o</w:t>
      </w:r>
      <w:r w:rsidRPr="00FA486E">
        <w:rPr>
          <w:lang w:val="en-GB"/>
        </w:rPr>
        <w:t xml:space="preserve">, as defined by </w:t>
      </w:r>
      <w:r w:rsidR="00C1298F">
        <w:rPr>
          <w:lang w:val="en-GB"/>
        </w:rPr>
        <w:t>Statistics Sweden</w:t>
      </w:r>
      <w:r w:rsidRPr="00FA486E">
        <w:rPr>
          <w:lang w:val="en-GB"/>
        </w:rPr>
        <w:t xml:space="preserve">, and a second </w:t>
      </w:r>
      <w:r w:rsidR="00CE11B5">
        <w:rPr>
          <w:lang w:val="en-GB"/>
        </w:rPr>
        <w:t>dataset</w:t>
      </w:r>
      <w:r w:rsidRPr="00FA486E">
        <w:rPr>
          <w:lang w:val="en-GB"/>
        </w:rPr>
        <w:t xml:space="preserve"> consisting of patients from non-metropolitan areas.</w:t>
      </w:r>
    </w:p>
    <w:p w14:paraId="3B1938EF" w14:textId="5D505B74" w:rsidR="00161F40" w:rsidRPr="00FA486E" w:rsidRDefault="00C406B5" w:rsidP="00D0566F">
      <w:pPr>
        <w:pStyle w:val="Rubrik3"/>
        <w:spacing w:line="360" w:lineRule="auto"/>
        <w:rPr>
          <w:lang w:val="en-GB"/>
        </w:rPr>
      </w:pPr>
      <w:bookmarkStart w:id="17" w:name="data-set-3-multiple-and-single-centre-da"/>
      <w:bookmarkEnd w:id="17"/>
      <w:r w:rsidRPr="00FA486E">
        <w:rPr>
          <w:lang w:val="en-GB"/>
        </w:rPr>
        <w:lastRenderedPageBreak/>
        <w:t>Dataset</w:t>
      </w:r>
      <w:r w:rsidR="00CE11B5">
        <w:rPr>
          <w:lang w:val="en-GB"/>
        </w:rPr>
        <w:t xml:space="preserve"> group</w:t>
      </w:r>
      <w:r w:rsidRPr="00FA486E">
        <w:rPr>
          <w:lang w:val="en-GB"/>
        </w:rPr>
        <w:t xml:space="preserve"> 3: Multi</w:t>
      </w:r>
      <w:r w:rsidR="00A11157">
        <w:rPr>
          <w:lang w:val="en-GB"/>
        </w:rPr>
        <w:t>- and single centres</w:t>
      </w:r>
    </w:p>
    <w:p w14:paraId="78918762" w14:textId="6F69E304" w:rsidR="00A11157" w:rsidRDefault="00A11157" w:rsidP="00A11157">
      <w:pPr>
        <w:pStyle w:val="FirstParagraph"/>
        <w:spacing w:line="360" w:lineRule="auto"/>
      </w:pPr>
      <w:r>
        <w:rPr>
          <w:lang w:val="en-GB"/>
        </w:rPr>
        <w:t xml:space="preserve">The plan was to let centres with a large enough sample size (as defined below) to constitute its own single centre dataset and then use the data from all centres to constitute the multicentre dataset. There was only one centre however that had a large enough sample size to constitute its own dataset, and therefore this dataset group only included two datasets, one single centre dataset and one multicentre dataset. </w:t>
      </w:r>
    </w:p>
    <w:p w14:paraId="0129B176" w14:textId="639CF666" w:rsidR="00161F40" w:rsidRPr="00FA486E" w:rsidRDefault="00A11157" w:rsidP="00D0566F">
      <w:pPr>
        <w:pStyle w:val="Brdtext"/>
        <w:spacing w:line="360" w:lineRule="auto"/>
        <w:rPr>
          <w:lang w:val="en-GB"/>
        </w:rPr>
      </w:pPr>
      <w:r>
        <w:rPr>
          <w:lang w:val="en-GB"/>
        </w:rPr>
        <w:t>The initial plan was also to study the transfer between individual centres. This analysis was however not possible due to a lack of centres with a sufficiently large sample size</w:t>
      </w:r>
    </w:p>
    <w:p w14:paraId="3789AE85" w14:textId="77777777" w:rsidR="00161F40" w:rsidRPr="00FA486E" w:rsidRDefault="00C406B5" w:rsidP="00D0566F">
      <w:pPr>
        <w:pStyle w:val="Rubrik3"/>
        <w:spacing w:line="360" w:lineRule="auto"/>
        <w:rPr>
          <w:lang w:val="en-GB"/>
        </w:rPr>
      </w:pPr>
      <w:bookmarkStart w:id="18" w:name="development-and-validation-sample"/>
      <w:bookmarkEnd w:id="18"/>
      <w:r w:rsidRPr="00FA486E">
        <w:rPr>
          <w:lang w:val="en-GB"/>
        </w:rPr>
        <w:t>Development and validation sample</w:t>
      </w:r>
    </w:p>
    <w:p w14:paraId="37F8F611" w14:textId="2CD882E5" w:rsidR="00161F40" w:rsidRPr="00FA486E" w:rsidRDefault="00C406B5" w:rsidP="00D0566F">
      <w:pPr>
        <w:pStyle w:val="FirstParagraph"/>
        <w:spacing w:line="360" w:lineRule="auto"/>
        <w:rPr>
          <w:lang w:val="en-GB"/>
        </w:rPr>
      </w:pPr>
      <w:r w:rsidRPr="00FA486E">
        <w:rPr>
          <w:lang w:val="en-GB"/>
        </w:rPr>
        <w:t xml:space="preserve">The </w:t>
      </w:r>
      <w:r w:rsidR="00CE11B5">
        <w:rPr>
          <w:lang w:val="en-GB"/>
        </w:rPr>
        <w:t>datasets</w:t>
      </w:r>
      <w:r w:rsidRPr="00FA486E">
        <w:rPr>
          <w:lang w:val="en-GB"/>
        </w:rPr>
        <w:t xml:space="preserve"> in each dataset</w:t>
      </w:r>
      <w:r w:rsidR="00CE11B5">
        <w:rPr>
          <w:lang w:val="en-GB"/>
        </w:rPr>
        <w:t xml:space="preserve"> group</w:t>
      </w:r>
      <w:r w:rsidRPr="00FA486E">
        <w:rPr>
          <w:lang w:val="en-GB"/>
        </w:rPr>
        <w:t xml:space="preserve"> were split into two </w:t>
      </w:r>
      <w:r w:rsidR="00CE11B5">
        <w:rPr>
          <w:lang w:val="en-GB"/>
        </w:rPr>
        <w:t>samples</w:t>
      </w:r>
      <w:r w:rsidRPr="00FA486E">
        <w:rPr>
          <w:lang w:val="en-GB"/>
        </w:rPr>
        <w:t xml:space="preserve"> using a temporal split based on the date of trauma. The earlier sample was the development sample, and the later sample was the validation sample. The development sample contained 75 events (events being patients who died within 30 days of the trauma) and all non-events (non-events being patients who survived 30 days past the trauma) </w:t>
      </w:r>
      <w:r w:rsidR="00A11157">
        <w:rPr>
          <w:lang w:val="en-GB"/>
        </w:rPr>
        <w:t xml:space="preserve">received </w:t>
      </w:r>
      <w:r w:rsidRPr="00FA486E">
        <w:rPr>
          <w:lang w:val="en-GB"/>
        </w:rPr>
        <w:t>during the same time</w:t>
      </w:r>
      <w:r w:rsidR="00276748">
        <w:rPr>
          <w:lang w:val="en-GB"/>
        </w:rPr>
        <w:t xml:space="preserve"> period as the events</w:t>
      </w:r>
      <w:r w:rsidRPr="00FA486E">
        <w:rPr>
          <w:lang w:val="en-GB"/>
        </w:rPr>
        <w:t>. The rationale for including 75 events was that 25 events per variable have been shown to result in less biased coefficient estimates compared to the more standard 10 events per variable [</w:t>
      </w:r>
      <w:r w:rsidR="00933FB1">
        <w:rPr>
          <w:lang w:val="en-GB"/>
        </w:rPr>
        <w:t>22</w:t>
      </w:r>
      <w:r w:rsidR="00041CF1">
        <w:rPr>
          <w:lang w:val="en-GB"/>
        </w:rPr>
        <w:t>, 2</w:t>
      </w:r>
      <w:r w:rsidR="00933FB1">
        <w:rPr>
          <w:lang w:val="en-GB"/>
        </w:rPr>
        <w:t>3</w:t>
      </w:r>
      <w:r w:rsidRPr="00FA486E">
        <w:rPr>
          <w:lang w:val="en-GB"/>
        </w:rPr>
        <w:t>]. The validation sample</w:t>
      </w:r>
      <w:r w:rsidR="000D24D6" w:rsidRPr="00FA486E">
        <w:rPr>
          <w:lang w:val="en-GB"/>
        </w:rPr>
        <w:t>s all</w:t>
      </w:r>
      <w:r w:rsidRPr="00FA486E">
        <w:rPr>
          <w:lang w:val="en-GB"/>
        </w:rPr>
        <w:t xml:space="preserve"> contained 100 events and at least 100 non-events, which </w:t>
      </w:r>
      <w:r w:rsidR="00276748">
        <w:rPr>
          <w:lang w:val="en-GB"/>
        </w:rPr>
        <w:t>has been</w:t>
      </w:r>
      <w:r w:rsidRPr="00FA486E">
        <w:rPr>
          <w:lang w:val="en-GB"/>
        </w:rPr>
        <w:t xml:space="preserve"> suggested as the minimum number</w:t>
      </w:r>
      <w:r w:rsidR="00276748">
        <w:rPr>
          <w:lang w:val="en-GB"/>
        </w:rPr>
        <w:t xml:space="preserve"> required</w:t>
      </w:r>
      <w:r w:rsidRPr="00FA486E">
        <w:rPr>
          <w:lang w:val="en-GB"/>
        </w:rPr>
        <w:t xml:space="preserve"> for external validation samples [</w:t>
      </w:r>
      <w:r w:rsidR="00933FB1">
        <w:rPr>
          <w:lang w:val="en-GB"/>
        </w:rPr>
        <w:t>24</w:t>
      </w:r>
      <w:r w:rsidRPr="00FA486E">
        <w:rPr>
          <w:lang w:val="en-GB"/>
        </w:rPr>
        <w:t xml:space="preserve">]. </w:t>
      </w:r>
      <w:r w:rsidR="00276748">
        <w:rPr>
          <w:lang w:val="en-GB"/>
        </w:rPr>
        <w:t xml:space="preserve">Thus, the minimum sample sizes of the development and validation samples were 150 and 200, respectively. We performed analyses only on datasets for which all samples included at least the minimum sample size. </w:t>
      </w:r>
      <w:r w:rsidRPr="00FA486E">
        <w:rPr>
          <w:lang w:val="en-GB"/>
        </w:rPr>
        <w:t>Figure 1 shows the development of the samples using the high- and low-volume centre</w:t>
      </w:r>
      <w:r w:rsidR="0036688A">
        <w:rPr>
          <w:lang w:val="en-GB"/>
        </w:rPr>
        <w:t>s</w:t>
      </w:r>
      <w:r w:rsidRPr="00FA486E">
        <w:rPr>
          <w:lang w:val="en-GB"/>
        </w:rPr>
        <w:t xml:space="preserve"> dataset</w:t>
      </w:r>
      <w:r w:rsidR="00CE11B5">
        <w:rPr>
          <w:lang w:val="en-GB"/>
        </w:rPr>
        <w:t xml:space="preserve"> group</w:t>
      </w:r>
      <w:r w:rsidRPr="00FA486E">
        <w:rPr>
          <w:lang w:val="en-GB"/>
        </w:rPr>
        <w:t xml:space="preserve"> as an example.</w:t>
      </w:r>
    </w:p>
    <w:p w14:paraId="6504AFA2" w14:textId="0714DAE2" w:rsidR="00161F40" w:rsidRPr="00FA486E" w:rsidRDefault="00C406B5" w:rsidP="001312BF">
      <w:pPr>
        <w:pStyle w:val="Brdtext"/>
        <w:spacing w:line="240" w:lineRule="auto"/>
        <w:rPr>
          <w:lang w:val="en-GB"/>
        </w:rPr>
      </w:pPr>
      <w:r w:rsidRPr="00FA486E">
        <w:rPr>
          <w:noProof/>
          <w:lang w:val="en-GB"/>
        </w:rPr>
        <w:lastRenderedPageBreak/>
        <w:drawing>
          <wp:inline distT="0" distB="0" distL="0" distR="0" wp14:anchorId="6D851E88" wp14:editId="6D764731">
            <wp:extent cx="5959474" cy="3656793"/>
            <wp:effectExtent l="0" t="0" r="3810" b="127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1.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59474" cy="3656793"/>
                    </a:xfrm>
                    <a:prstGeom prst="rect">
                      <a:avLst/>
                    </a:prstGeom>
                    <a:noFill/>
                    <a:ln w="9525">
                      <a:noFill/>
                      <a:headEnd/>
                      <a:tailEnd/>
                    </a:ln>
                  </pic:spPr>
                </pic:pic>
              </a:graphicData>
            </a:graphic>
          </wp:inline>
        </w:drawing>
      </w:r>
      <w:r w:rsidRPr="00FA486E">
        <w:rPr>
          <w:lang w:val="en-GB"/>
        </w:rPr>
        <w:br/>
      </w:r>
      <w:r w:rsidRPr="00FA486E">
        <w:rPr>
          <w:b/>
          <w:lang w:val="en-GB"/>
        </w:rPr>
        <w:t xml:space="preserve">Fig. 1: Sample development </w:t>
      </w:r>
      <w:r w:rsidR="00276748">
        <w:rPr>
          <w:b/>
          <w:lang w:val="en-GB"/>
        </w:rPr>
        <w:t>using</w:t>
      </w:r>
      <w:r w:rsidRPr="00FA486E">
        <w:rPr>
          <w:b/>
          <w:lang w:val="en-GB"/>
        </w:rPr>
        <w:t xml:space="preserve"> the high- and low-volume centre</w:t>
      </w:r>
      <w:r w:rsidR="00276748">
        <w:rPr>
          <w:b/>
          <w:lang w:val="en-GB"/>
        </w:rPr>
        <w:t>s</w:t>
      </w:r>
      <w:r w:rsidRPr="00FA486E">
        <w:rPr>
          <w:b/>
          <w:lang w:val="en-GB"/>
        </w:rPr>
        <w:t xml:space="preserve"> dataset</w:t>
      </w:r>
      <w:r w:rsidR="00CE11B5">
        <w:rPr>
          <w:b/>
          <w:lang w:val="en-GB"/>
        </w:rPr>
        <w:t xml:space="preserve"> group</w:t>
      </w:r>
      <w:r w:rsidR="00276748">
        <w:rPr>
          <w:b/>
          <w:lang w:val="en-GB"/>
        </w:rPr>
        <w:t xml:space="preserve"> as an example</w:t>
      </w:r>
      <w:r w:rsidRPr="00FA486E">
        <w:rPr>
          <w:b/>
          <w:lang w:val="en-GB"/>
        </w:rPr>
        <w:t>.</w:t>
      </w:r>
      <w:r w:rsidRPr="00FA486E">
        <w:rPr>
          <w:lang w:val="en-GB"/>
        </w:rPr>
        <w:t xml:space="preserve"> Initial split based on the number of patients</w:t>
      </w:r>
      <w:r w:rsidR="00276748">
        <w:rPr>
          <w:lang w:val="en-GB"/>
        </w:rPr>
        <w:t xml:space="preserve"> received</w:t>
      </w:r>
      <w:r w:rsidRPr="00FA486E">
        <w:rPr>
          <w:lang w:val="en-GB"/>
        </w:rPr>
        <w:t>. Temporal split made using the date of the trauma.</w:t>
      </w:r>
      <w:r w:rsidR="00A3191C">
        <w:rPr>
          <w:lang w:val="en-GB"/>
        </w:rPr>
        <w:t xml:space="preserve"> Each sample also contains all</w:t>
      </w:r>
      <w:r w:rsidR="00A3191C" w:rsidRPr="00A3191C">
        <w:rPr>
          <w:lang w:val="en-GB"/>
        </w:rPr>
        <w:t xml:space="preserve"> non-events received during the same time period as the events</w:t>
      </w:r>
      <w:r w:rsidR="00A3191C">
        <w:rPr>
          <w:lang w:val="en-GB"/>
        </w:rPr>
        <w:t>.</w:t>
      </w:r>
    </w:p>
    <w:p w14:paraId="7FD2C24C" w14:textId="77777777" w:rsidR="00161F40" w:rsidRPr="00FA486E" w:rsidRDefault="00C406B5" w:rsidP="00D0566F">
      <w:pPr>
        <w:pStyle w:val="Rubrik3"/>
        <w:spacing w:line="360" w:lineRule="auto"/>
        <w:rPr>
          <w:lang w:val="en-GB"/>
        </w:rPr>
      </w:pPr>
      <w:bookmarkStart w:id="19" w:name="sequence-of-analysis"/>
      <w:bookmarkEnd w:id="19"/>
      <w:r w:rsidRPr="00FA486E">
        <w:rPr>
          <w:lang w:val="en-GB"/>
        </w:rPr>
        <w:t>Sequence of analysis</w:t>
      </w:r>
    </w:p>
    <w:p w14:paraId="5374E5C1" w14:textId="291AAB29" w:rsidR="00161F40" w:rsidRPr="00FA486E" w:rsidRDefault="00C406B5" w:rsidP="00D0566F">
      <w:pPr>
        <w:pStyle w:val="FirstParagraph"/>
        <w:spacing w:line="360" w:lineRule="auto"/>
        <w:rPr>
          <w:lang w:val="en-GB"/>
        </w:rPr>
      </w:pPr>
      <w:r w:rsidRPr="00FA486E">
        <w:rPr>
          <w:lang w:val="en-GB"/>
        </w:rPr>
        <w:t>The programming language R was used for all analyses [</w:t>
      </w:r>
      <w:r w:rsidR="00041CF1">
        <w:rPr>
          <w:lang w:val="en-GB"/>
        </w:rPr>
        <w:t>2</w:t>
      </w:r>
      <w:r w:rsidR="00933FB1">
        <w:rPr>
          <w:lang w:val="en-GB"/>
        </w:rPr>
        <w:t>5</w:t>
      </w:r>
      <w:r w:rsidRPr="00FA486E">
        <w:rPr>
          <w:lang w:val="en-GB"/>
        </w:rPr>
        <w:t>], and all code has been made publicly available [</w:t>
      </w:r>
      <w:r w:rsidR="00933FB1" w:rsidRPr="00FA486E">
        <w:rPr>
          <w:lang w:val="en-GB"/>
        </w:rPr>
        <w:t>1</w:t>
      </w:r>
      <w:r w:rsidR="00933FB1">
        <w:rPr>
          <w:lang w:val="en-GB"/>
        </w:rPr>
        <w:t>1</w:t>
      </w:r>
      <w:r w:rsidRPr="00FA486E">
        <w:rPr>
          <w:lang w:val="en-GB"/>
        </w:rPr>
        <w:t>]. Analyses were performed in the sequence of model development, model validation and finally model comparison. These steps were repeated in each dataset</w:t>
      </w:r>
      <w:r w:rsidR="00CE11B5">
        <w:rPr>
          <w:lang w:val="en-GB"/>
        </w:rPr>
        <w:t xml:space="preserve"> group</w:t>
      </w:r>
      <w:r w:rsidRPr="00FA486E">
        <w:rPr>
          <w:lang w:val="en-GB"/>
        </w:rPr>
        <w:t xml:space="preserve">. Below, we use the transfer of a model from the high-volume centre </w:t>
      </w:r>
      <w:r w:rsidR="00CE11B5">
        <w:rPr>
          <w:lang w:val="en-GB"/>
        </w:rPr>
        <w:t>dataset</w:t>
      </w:r>
      <w:r w:rsidR="00CE11B5" w:rsidRPr="00FA486E">
        <w:rPr>
          <w:lang w:val="en-GB"/>
        </w:rPr>
        <w:t xml:space="preserve"> </w:t>
      </w:r>
      <w:r w:rsidRPr="00FA486E">
        <w:rPr>
          <w:lang w:val="en-GB"/>
        </w:rPr>
        <w:t xml:space="preserve">to the low-volume centre </w:t>
      </w:r>
      <w:r w:rsidR="00CE11B5">
        <w:rPr>
          <w:lang w:val="en-GB"/>
        </w:rPr>
        <w:t>dataset</w:t>
      </w:r>
      <w:r w:rsidRPr="00FA486E">
        <w:rPr>
          <w:lang w:val="en-GB"/>
        </w:rPr>
        <w:t xml:space="preserve"> as an example to describe the complete procedure.</w:t>
      </w:r>
    </w:p>
    <w:p w14:paraId="469EF89A" w14:textId="77777777" w:rsidR="00161F40" w:rsidRPr="00FA486E" w:rsidRDefault="00C406B5" w:rsidP="00D0566F">
      <w:pPr>
        <w:pStyle w:val="Rubrik3"/>
        <w:spacing w:line="360" w:lineRule="auto"/>
        <w:rPr>
          <w:lang w:val="en-GB"/>
        </w:rPr>
      </w:pPr>
      <w:bookmarkStart w:id="20" w:name="model-development"/>
      <w:bookmarkEnd w:id="20"/>
      <w:r w:rsidRPr="00FA486E">
        <w:rPr>
          <w:lang w:val="en-GB"/>
        </w:rPr>
        <w:t>Model development</w:t>
      </w:r>
    </w:p>
    <w:p w14:paraId="5BB3FD77" w14:textId="254FA932" w:rsidR="00161F40" w:rsidRPr="00FA486E" w:rsidRDefault="00C406B5" w:rsidP="00D0566F">
      <w:pPr>
        <w:pStyle w:val="FirstParagraph"/>
        <w:spacing w:line="360" w:lineRule="auto"/>
        <w:rPr>
          <w:lang w:val="en-GB"/>
        </w:rPr>
      </w:pPr>
      <w:r w:rsidRPr="00FA486E">
        <w:rPr>
          <w:lang w:val="en-GB"/>
        </w:rPr>
        <w:t>In the model development step, a clinical prediction model was developed in the high-volume centre development sample. The model was developed using logistic regression. The dependent variable was all-cause mortality within 30 days of trauma, and the independent variables SBP, RR, and GCS were modelled as previously described. To avoid overfitting the model, a bootstrap procedure was used to estimate a linear shrinkage factor</w:t>
      </w:r>
      <w:r w:rsidR="00E339AA">
        <w:rPr>
          <w:lang w:val="en-GB"/>
        </w:rPr>
        <w:t>, defined as the mean calibration slope across 1000 bootstrap samples</w:t>
      </w:r>
      <w:r w:rsidR="00EA6CE0">
        <w:rPr>
          <w:lang w:val="en-GB"/>
        </w:rPr>
        <w:t xml:space="preserve">, </w:t>
      </w:r>
      <w:r w:rsidR="00E339AA">
        <w:rPr>
          <w:lang w:val="en-GB"/>
        </w:rPr>
        <w:t>that</w:t>
      </w:r>
      <w:r w:rsidR="00EA6CE0">
        <w:rPr>
          <w:lang w:val="en-GB"/>
        </w:rPr>
        <w:t xml:space="preserve"> was</w:t>
      </w:r>
      <w:r w:rsidRPr="00FA486E">
        <w:rPr>
          <w:lang w:val="en-GB"/>
        </w:rPr>
        <w:t xml:space="preserve"> then applied to the model coefficients [2</w:t>
      </w:r>
      <w:r w:rsidR="00933FB1">
        <w:rPr>
          <w:lang w:val="en-GB"/>
        </w:rPr>
        <w:t>6</w:t>
      </w:r>
      <w:r w:rsidRPr="00FA486E">
        <w:rPr>
          <w:lang w:val="en-GB"/>
        </w:rPr>
        <w:t xml:space="preserve">]. The shrunk </w:t>
      </w:r>
      <w:r w:rsidRPr="00FA486E">
        <w:rPr>
          <w:lang w:val="en-GB"/>
        </w:rPr>
        <w:lastRenderedPageBreak/>
        <w:t xml:space="preserve">model was used to estimate the probability of all-cause 30-day mortality in the development sample. A grid search was performed across estimated probabilities in the development sample to identify the </w:t>
      </w:r>
      <w:proofErr w:type="spellStart"/>
      <w:r w:rsidRPr="00FA486E">
        <w:rPr>
          <w:lang w:val="en-GB"/>
        </w:rPr>
        <w:t>cutoff</w:t>
      </w:r>
      <w:proofErr w:type="spellEnd"/>
      <w:r w:rsidRPr="00FA486E">
        <w:rPr>
          <w:lang w:val="en-GB"/>
        </w:rPr>
        <w:t xml:space="preserve"> value that optimised overtriage while </w:t>
      </w:r>
      <w:r w:rsidR="00E339AA">
        <w:rPr>
          <w:lang w:val="en-GB"/>
        </w:rPr>
        <w:t xml:space="preserve">attempting to </w:t>
      </w:r>
      <w:r w:rsidRPr="00FA486E">
        <w:rPr>
          <w:lang w:val="en-GB"/>
        </w:rPr>
        <w:t>keep undertriage at less than 5% [</w:t>
      </w:r>
      <w:r w:rsidR="00041CF1">
        <w:rPr>
          <w:lang w:val="en-GB"/>
        </w:rPr>
        <w:t>19</w:t>
      </w:r>
      <w:r w:rsidRPr="00FA486E">
        <w:rPr>
          <w:lang w:val="en-GB"/>
        </w:rPr>
        <w:t xml:space="preserve">]. This </w:t>
      </w:r>
      <w:proofErr w:type="spellStart"/>
      <w:r w:rsidRPr="00FA486E">
        <w:rPr>
          <w:lang w:val="en-GB"/>
        </w:rPr>
        <w:t>cutoff</w:t>
      </w:r>
      <w:proofErr w:type="spellEnd"/>
      <w:r w:rsidRPr="00FA486E">
        <w:rPr>
          <w:lang w:val="en-GB"/>
        </w:rPr>
        <w:t xml:space="preserve"> value was then used to classify patients as having major or minor trauma.</w:t>
      </w:r>
    </w:p>
    <w:p w14:paraId="230FB00C" w14:textId="77777777" w:rsidR="00161F40" w:rsidRPr="00FA486E" w:rsidRDefault="00C406B5" w:rsidP="00D0566F">
      <w:pPr>
        <w:pStyle w:val="Rubrik3"/>
        <w:spacing w:line="360" w:lineRule="auto"/>
        <w:rPr>
          <w:lang w:val="en-GB"/>
        </w:rPr>
      </w:pPr>
      <w:bookmarkStart w:id="21" w:name="model-validation"/>
      <w:bookmarkEnd w:id="21"/>
      <w:r w:rsidRPr="00FA486E">
        <w:rPr>
          <w:lang w:val="en-GB"/>
        </w:rPr>
        <w:t>Model validation</w:t>
      </w:r>
    </w:p>
    <w:p w14:paraId="2BE192D4" w14:textId="77777777" w:rsidR="00161F40" w:rsidRPr="00FA486E" w:rsidRDefault="00C406B5" w:rsidP="00D0566F">
      <w:pPr>
        <w:pStyle w:val="FirstParagraph"/>
        <w:spacing w:line="360" w:lineRule="auto"/>
        <w:rPr>
          <w:lang w:val="en-GB"/>
        </w:rPr>
      </w:pPr>
      <w:r w:rsidRPr="00FA486E">
        <w:rPr>
          <w:lang w:val="en-GB"/>
        </w:rPr>
        <w:t xml:space="preserve">In the model validation step, the model performance was assessed in the high-volume centre validation sample and in the low-volume centre validation sample. First, the model was used to estimate the probability of all-cause 30-day mortality in each sample. Then, the probability </w:t>
      </w:r>
      <w:proofErr w:type="spellStart"/>
      <w:r w:rsidRPr="00FA486E">
        <w:rPr>
          <w:lang w:val="en-GB"/>
        </w:rPr>
        <w:t>cutoff</w:t>
      </w:r>
      <w:proofErr w:type="spellEnd"/>
      <w:r w:rsidRPr="00FA486E">
        <w:rPr>
          <w:lang w:val="en-GB"/>
        </w:rPr>
        <w:t xml:space="preserve"> value identified in the development sample was applied to the validation samples, patients were classified as having major or minor trauma, and the model performance was estimated.</w:t>
      </w:r>
    </w:p>
    <w:p w14:paraId="07CA9A06" w14:textId="77777777" w:rsidR="00161F40" w:rsidRPr="00FA486E" w:rsidRDefault="00C406B5" w:rsidP="00D0566F">
      <w:pPr>
        <w:pStyle w:val="Rubrik3"/>
        <w:spacing w:line="360" w:lineRule="auto"/>
        <w:rPr>
          <w:lang w:val="en-GB"/>
        </w:rPr>
      </w:pPr>
      <w:bookmarkStart w:id="22" w:name="model-comparison"/>
      <w:bookmarkEnd w:id="22"/>
      <w:r w:rsidRPr="00FA486E">
        <w:rPr>
          <w:lang w:val="en-GB"/>
        </w:rPr>
        <w:t>Model comparison</w:t>
      </w:r>
    </w:p>
    <w:p w14:paraId="028384D7" w14:textId="0092949B" w:rsidR="00161F40" w:rsidRPr="00FA486E" w:rsidRDefault="00C406B5" w:rsidP="00D0566F">
      <w:pPr>
        <w:pStyle w:val="FirstParagraph"/>
        <w:spacing w:line="360" w:lineRule="auto"/>
        <w:rPr>
          <w:lang w:val="en-GB"/>
        </w:rPr>
      </w:pPr>
      <w:r w:rsidRPr="00FA486E">
        <w:rPr>
          <w:lang w:val="en-GB"/>
        </w:rPr>
        <w:t>Finally, the difference in model performance between the high- and low-volume centre validation samples was calculated. Empirical bootstr</w:t>
      </w:r>
      <w:bookmarkStart w:id="23" w:name="_GoBack"/>
      <w:bookmarkEnd w:id="23"/>
      <w:r w:rsidRPr="00FA486E">
        <w:rPr>
          <w:lang w:val="en-GB"/>
        </w:rPr>
        <w:t>apping</w:t>
      </w:r>
      <w:r w:rsidR="00447461">
        <w:rPr>
          <w:lang w:val="en-GB"/>
        </w:rPr>
        <w:t xml:space="preserve"> </w:t>
      </w:r>
      <w:r w:rsidR="008D5AA9">
        <w:rPr>
          <w:lang w:val="en-GB"/>
        </w:rPr>
        <w:t xml:space="preserve">across 1000 draws </w:t>
      </w:r>
      <w:r w:rsidR="00447461">
        <w:rPr>
          <w:lang w:val="en-GB"/>
        </w:rPr>
        <w:t xml:space="preserve">using the Boot MI Percentile method </w:t>
      </w:r>
      <w:r w:rsidRPr="00FA486E">
        <w:rPr>
          <w:lang w:val="en-GB"/>
        </w:rPr>
        <w:t>was used to estimate the 95% confidence intervals (CI) around the performance and the differences in the performance estimates</w:t>
      </w:r>
      <w:r w:rsidR="00F836B6">
        <w:rPr>
          <w:lang w:val="en-GB"/>
        </w:rPr>
        <w:t xml:space="preserve"> [</w:t>
      </w:r>
      <w:r w:rsidR="00C31725">
        <w:rPr>
          <w:lang w:val="en-GB"/>
        </w:rPr>
        <w:t>2</w:t>
      </w:r>
      <w:r w:rsidR="00933FB1">
        <w:rPr>
          <w:lang w:val="en-GB"/>
        </w:rPr>
        <w:t>7</w:t>
      </w:r>
      <w:r w:rsidR="00F836B6">
        <w:rPr>
          <w:lang w:val="en-GB"/>
        </w:rPr>
        <w:t>]</w:t>
      </w:r>
      <w:r w:rsidRPr="00FA486E">
        <w:rPr>
          <w:lang w:val="en-GB"/>
        </w:rPr>
        <w:t>.</w:t>
      </w:r>
    </w:p>
    <w:p w14:paraId="0A8BE97A" w14:textId="77777777" w:rsidR="00161F40" w:rsidRPr="00FA486E" w:rsidRDefault="00C406B5" w:rsidP="00D0566F">
      <w:pPr>
        <w:pStyle w:val="Rubrik3"/>
        <w:spacing w:line="360" w:lineRule="auto"/>
        <w:rPr>
          <w:lang w:val="en-GB"/>
        </w:rPr>
      </w:pPr>
      <w:bookmarkStart w:id="24" w:name="performance-measures"/>
      <w:bookmarkEnd w:id="24"/>
      <w:r w:rsidRPr="00FA486E">
        <w:rPr>
          <w:lang w:val="en-GB"/>
        </w:rPr>
        <w:t>Performance measures</w:t>
      </w:r>
    </w:p>
    <w:p w14:paraId="6A4F1C84" w14:textId="77777777" w:rsidR="00FA486E" w:rsidRPr="00FA486E" w:rsidRDefault="00C406B5" w:rsidP="00D0566F">
      <w:pPr>
        <w:pStyle w:val="Rubrik2"/>
        <w:spacing w:line="360" w:lineRule="auto"/>
        <w:rPr>
          <w:b w:val="0"/>
          <w:bCs w:val="0"/>
          <w:sz w:val="24"/>
          <w:szCs w:val="24"/>
          <w:lang w:val="en-GB"/>
        </w:rPr>
      </w:pPr>
      <w:r w:rsidRPr="00FA486E">
        <w:rPr>
          <w:b w:val="0"/>
          <w:bCs w:val="0"/>
          <w:sz w:val="24"/>
          <w:szCs w:val="24"/>
          <w:lang w:val="en-GB"/>
        </w:rPr>
        <w:t>Model performance was assessed in terms of over-, under-, and mistriage rates as defined above.</w:t>
      </w:r>
      <w:bookmarkStart w:id="25" w:name="missing-data"/>
      <w:bookmarkEnd w:id="25"/>
    </w:p>
    <w:p w14:paraId="54326244" w14:textId="2998E9D3" w:rsidR="00161F40" w:rsidRPr="00FA486E" w:rsidRDefault="00C406B5" w:rsidP="00D0566F">
      <w:pPr>
        <w:pStyle w:val="Rubrik2"/>
        <w:spacing w:line="360" w:lineRule="auto"/>
        <w:rPr>
          <w:lang w:val="en-GB"/>
        </w:rPr>
      </w:pPr>
      <w:r w:rsidRPr="00FA486E">
        <w:rPr>
          <w:lang w:val="en-GB"/>
        </w:rPr>
        <w:t>Ethical considerations</w:t>
      </w:r>
    </w:p>
    <w:p w14:paraId="2BF0BEFE" w14:textId="32DFE9F7" w:rsidR="00161F40" w:rsidRPr="00FA486E" w:rsidRDefault="00C406B5" w:rsidP="00D0566F">
      <w:pPr>
        <w:pStyle w:val="FirstParagraph"/>
        <w:spacing w:line="360" w:lineRule="auto"/>
        <w:rPr>
          <w:lang w:val="en-GB"/>
        </w:rPr>
      </w:pPr>
      <w:r w:rsidRPr="00FA486E">
        <w:rPr>
          <w:lang w:val="en-GB"/>
        </w:rPr>
        <w:t xml:space="preserve">The study was approved by the regional ethics review board in Stockholm, Sweden </w:t>
      </w:r>
      <w:r w:rsidR="008D5AA9">
        <w:rPr>
          <w:lang w:val="en-GB"/>
        </w:rPr>
        <w:t>(</w:t>
      </w:r>
      <w:r w:rsidRPr="00FA486E">
        <w:rPr>
          <w:lang w:val="en-GB"/>
        </w:rPr>
        <w:t>2015/426-31 and 2016/461-32</w:t>
      </w:r>
      <w:r w:rsidR="008D5AA9">
        <w:rPr>
          <w:lang w:val="en-GB"/>
        </w:rPr>
        <w:t>).</w:t>
      </w:r>
    </w:p>
    <w:p w14:paraId="4DDBEC84" w14:textId="77777777" w:rsidR="00161F40" w:rsidRPr="00FA486E" w:rsidRDefault="00C406B5" w:rsidP="00D0566F">
      <w:pPr>
        <w:pStyle w:val="Rubrik1"/>
        <w:spacing w:line="360" w:lineRule="auto"/>
        <w:rPr>
          <w:lang w:val="en-GB"/>
        </w:rPr>
      </w:pPr>
      <w:r w:rsidRPr="00FA486E">
        <w:rPr>
          <w:lang w:val="en-GB"/>
        </w:rPr>
        <w:t>Results</w:t>
      </w:r>
    </w:p>
    <w:p w14:paraId="5A22DDE8" w14:textId="73B8F929" w:rsidR="001312BF" w:rsidRPr="00FA486E" w:rsidRDefault="00C406B5" w:rsidP="00FA486E">
      <w:pPr>
        <w:pStyle w:val="FirstParagraph"/>
        <w:spacing w:line="360" w:lineRule="auto"/>
        <w:rPr>
          <w:lang w:val="en-GB"/>
        </w:rPr>
      </w:pPr>
      <w:r w:rsidRPr="00FA486E">
        <w:rPr>
          <w:lang w:val="en-GB"/>
        </w:rPr>
        <w:t>We analysed data from 26</w:t>
      </w:r>
      <w:r w:rsidR="00EC432F">
        <w:rPr>
          <w:lang w:val="en-GB"/>
        </w:rPr>
        <w:t xml:space="preserve"> </w:t>
      </w:r>
      <w:r w:rsidRPr="00FA486E">
        <w:rPr>
          <w:lang w:val="en-GB"/>
        </w:rPr>
        <w:t>965 trauma patients (Table 1), after excluding 78 patients with missing date and time of trauma. The total number of missing observations across all variables was 9</w:t>
      </w:r>
      <w:r w:rsidR="00EC432F">
        <w:rPr>
          <w:lang w:val="en-GB"/>
        </w:rPr>
        <w:t xml:space="preserve"> </w:t>
      </w:r>
      <w:r w:rsidRPr="00FA486E">
        <w:rPr>
          <w:lang w:val="en-GB"/>
        </w:rPr>
        <w:t xml:space="preserve">984 in the entire study cohort. The </w:t>
      </w:r>
      <w:r w:rsidR="00CE11B5">
        <w:rPr>
          <w:lang w:val="en-GB"/>
        </w:rPr>
        <w:t>dataset</w:t>
      </w:r>
      <w:r w:rsidR="00CE11B5" w:rsidRPr="00FA486E">
        <w:rPr>
          <w:lang w:val="en-GB"/>
        </w:rPr>
        <w:t xml:space="preserve"> </w:t>
      </w:r>
      <w:r w:rsidRPr="00FA486E">
        <w:rPr>
          <w:lang w:val="en-GB"/>
        </w:rPr>
        <w:t xml:space="preserve">with the highest percentage of missing observations was </w:t>
      </w:r>
      <w:r w:rsidRPr="00FA486E">
        <w:rPr>
          <w:lang w:val="en-GB"/>
        </w:rPr>
        <w:lastRenderedPageBreak/>
        <w:t xml:space="preserve">the non-metropolitan </w:t>
      </w:r>
      <w:r w:rsidR="00CE11B5">
        <w:rPr>
          <w:lang w:val="en-GB"/>
        </w:rPr>
        <w:t>dataset</w:t>
      </w:r>
      <w:r w:rsidRPr="00FA486E">
        <w:rPr>
          <w:lang w:val="en-GB"/>
        </w:rPr>
        <w:t xml:space="preserve">, with 48% incomplete observations. The variable with the highest number of missing values was </w:t>
      </w:r>
      <w:r w:rsidR="007B5F4D" w:rsidRPr="00FA486E">
        <w:rPr>
          <w:lang w:val="en-GB"/>
        </w:rPr>
        <w:t>RR</w:t>
      </w:r>
      <w:r w:rsidRPr="00FA486E">
        <w:rPr>
          <w:lang w:val="en-GB"/>
        </w:rPr>
        <w:t>, with 8</w:t>
      </w:r>
      <w:r w:rsidR="00EC432F">
        <w:rPr>
          <w:lang w:val="en-GB"/>
        </w:rPr>
        <w:t xml:space="preserve"> </w:t>
      </w:r>
      <w:r w:rsidRPr="00FA486E">
        <w:rPr>
          <w:lang w:val="en-GB"/>
        </w:rPr>
        <w:t>296 missing values, or 31% of the total values for this variable. The percentages of missing values for the other model predictors were 8% for GCS and 9% for SBP.</w:t>
      </w:r>
    </w:p>
    <w:p w14:paraId="4F3DB0EE" w14:textId="77777777" w:rsidR="00E601F6" w:rsidRDefault="00E601F6">
      <w:pPr>
        <w:rPr>
          <w:rFonts w:ascii="Times New Roman" w:hAnsi="Times New Roman"/>
          <w:b/>
          <w:lang w:val="en-GB"/>
        </w:rPr>
      </w:pPr>
      <w:r>
        <w:rPr>
          <w:b/>
          <w:lang w:val="en-GB"/>
        </w:rPr>
        <w:br w:type="page"/>
      </w:r>
    </w:p>
    <w:p w14:paraId="06A7EDA5" w14:textId="5FB4AAA1" w:rsidR="00161F40" w:rsidRPr="00FA486E" w:rsidRDefault="00C406B5" w:rsidP="001312BF">
      <w:pPr>
        <w:pStyle w:val="Brdtext"/>
        <w:spacing w:line="240" w:lineRule="auto"/>
        <w:rPr>
          <w:lang w:val="en-GB"/>
        </w:rPr>
      </w:pPr>
      <w:r w:rsidRPr="00FA486E">
        <w:rPr>
          <w:b/>
          <w:lang w:val="en-GB"/>
        </w:rPr>
        <w:lastRenderedPageBreak/>
        <w:t>Table 1. Sample characteristics of multiple imputed data.</w:t>
      </w:r>
      <w:r w:rsidRPr="00FA486E">
        <w:rPr>
          <w:lang w:val="en-GB"/>
        </w:rPr>
        <w:t xml:space="preserve"> Data are presented as medians with interquartile range </w:t>
      </w:r>
      <w:r w:rsidR="00EC432F">
        <w:rPr>
          <w:lang w:val="en-GB"/>
        </w:rPr>
        <w:t>[</w:t>
      </w:r>
      <w:r w:rsidRPr="00FA486E">
        <w:rPr>
          <w:lang w:val="en-GB"/>
        </w:rPr>
        <w:t>IQR</w:t>
      </w:r>
      <w:r w:rsidR="00EC432F">
        <w:rPr>
          <w:lang w:val="en-GB"/>
        </w:rPr>
        <w:t>]. Count data are presented as a count followed by (%) in the table.</w:t>
      </w:r>
    </w:p>
    <w:tbl>
      <w:tblPr>
        <w:tblW w:w="5000" w:type="pct"/>
        <w:tblBorders>
          <w:bottom w:val="single" w:sz="4" w:space="0" w:color="auto"/>
        </w:tblBorders>
        <w:tblLook w:val="07E0" w:firstRow="1" w:lastRow="1" w:firstColumn="1" w:lastColumn="1" w:noHBand="1" w:noVBand="1"/>
      </w:tblPr>
      <w:tblGrid>
        <w:gridCol w:w="3255"/>
        <w:gridCol w:w="1087"/>
        <w:gridCol w:w="2532"/>
        <w:gridCol w:w="2532"/>
      </w:tblGrid>
      <w:tr w:rsidR="00CC26A6" w14:paraId="58ECD07A" w14:textId="77777777" w:rsidTr="00FA486E">
        <w:tc>
          <w:tcPr>
            <w:tcW w:w="1730" w:type="pct"/>
            <w:vAlign w:val="bottom"/>
          </w:tcPr>
          <w:p w14:paraId="735476AE" w14:textId="77777777" w:rsidR="00161F40" w:rsidRPr="00FA486E" w:rsidRDefault="00C406B5">
            <w:pPr>
              <w:pStyle w:val="Compact"/>
              <w:rPr>
                <w:b/>
                <w:lang w:val="en-GB"/>
              </w:rPr>
            </w:pPr>
            <w:r w:rsidRPr="00FA486E">
              <w:rPr>
                <w:b/>
                <w:lang w:val="en-GB"/>
              </w:rPr>
              <w:t>Characteristic</w:t>
            </w:r>
          </w:p>
        </w:tc>
        <w:tc>
          <w:tcPr>
            <w:tcW w:w="578" w:type="pct"/>
            <w:vAlign w:val="bottom"/>
          </w:tcPr>
          <w:p w14:paraId="0A59E3B4" w14:textId="77777777" w:rsidR="00161F40" w:rsidRPr="00FA486E" w:rsidRDefault="00C406B5">
            <w:pPr>
              <w:pStyle w:val="Compact"/>
              <w:rPr>
                <w:b/>
                <w:lang w:val="en-GB"/>
              </w:rPr>
            </w:pPr>
            <w:r w:rsidRPr="00FA486E">
              <w:rPr>
                <w:b/>
                <w:lang w:val="en-GB"/>
              </w:rPr>
              <w:t>Level</w:t>
            </w:r>
          </w:p>
        </w:tc>
        <w:tc>
          <w:tcPr>
            <w:tcW w:w="1346" w:type="pct"/>
            <w:vAlign w:val="bottom"/>
          </w:tcPr>
          <w:p w14:paraId="358138D9" w14:textId="3102D8CD" w:rsidR="00161F40" w:rsidRPr="00FA486E" w:rsidRDefault="00C406B5">
            <w:pPr>
              <w:pStyle w:val="Compact"/>
              <w:rPr>
                <w:b/>
                <w:lang w:val="en-GB"/>
              </w:rPr>
            </w:pPr>
            <w:r w:rsidRPr="00FA486E">
              <w:rPr>
                <w:b/>
                <w:lang w:val="en-GB"/>
              </w:rPr>
              <w:t>High</w:t>
            </w:r>
            <w:r w:rsidR="00954F2B">
              <w:rPr>
                <w:b/>
                <w:lang w:val="en-GB"/>
              </w:rPr>
              <w:t>-</w:t>
            </w:r>
            <w:r w:rsidRPr="00FA486E">
              <w:rPr>
                <w:b/>
                <w:lang w:val="en-GB"/>
              </w:rPr>
              <w:t>volume</w:t>
            </w:r>
          </w:p>
        </w:tc>
        <w:tc>
          <w:tcPr>
            <w:tcW w:w="1346" w:type="pct"/>
            <w:vAlign w:val="bottom"/>
          </w:tcPr>
          <w:p w14:paraId="396EA91C" w14:textId="5544030B" w:rsidR="00161F40" w:rsidRPr="00FA486E" w:rsidRDefault="00C406B5">
            <w:pPr>
              <w:pStyle w:val="Compact"/>
              <w:rPr>
                <w:b/>
                <w:lang w:val="en-GB"/>
              </w:rPr>
            </w:pPr>
            <w:proofErr w:type="gramStart"/>
            <w:r w:rsidRPr="00FA486E">
              <w:rPr>
                <w:b/>
                <w:lang w:val="en-GB"/>
              </w:rPr>
              <w:t>Low</w:t>
            </w:r>
            <w:r w:rsidR="00954F2B">
              <w:rPr>
                <w:b/>
                <w:lang w:val="en-GB"/>
              </w:rPr>
              <w:t>-</w:t>
            </w:r>
            <w:r w:rsidRPr="00FA486E">
              <w:rPr>
                <w:b/>
                <w:lang w:val="en-GB"/>
              </w:rPr>
              <w:t>volume</w:t>
            </w:r>
            <w:proofErr w:type="gramEnd"/>
          </w:p>
        </w:tc>
      </w:tr>
      <w:tr w:rsidR="00161F40" w:rsidRPr="00A405BD" w14:paraId="2DBEC316" w14:textId="77777777" w:rsidTr="001312BF">
        <w:tblPrEx>
          <w:tblBorders>
            <w:bottom w:val="none" w:sz="0" w:space="0" w:color="auto"/>
          </w:tblBorders>
        </w:tblPrEx>
        <w:tc>
          <w:tcPr>
            <w:tcW w:w="1730" w:type="pct"/>
          </w:tcPr>
          <w:p w14:paraId="592A17B6" w14:textId="2D359D48" w:rsidR="00161F40" w:rsidRPr="00FA486E" w:rsidRDefault="00C406B5">
            <w:pPr>
              <w:pStyle w:val="Compact"/>
              <w:rPr>
                <w:lang w:val="en-GB"/>
              </w:rPr>
            </w:pPr>
            <w:r w:rsidRPr="00FA486E">
              <w:rPr>
                <w:lang w:val="en-GB"/>
              </w:rPr>
              <w:t xml:space="preserve">n </w:t>
            </w:r>
          </w:p>
        </w:tc>
        <w:tc>
          <w:tcPr>
            <w:tcW w:w="578" w:type="pct"/>
          </w:tcPr>
          <w:p w14:paraId="3EDC7842" w14:textId="77777777" w:rsidR="00161F40" w:rsidRPr="00FA486E" w:rsidRDefault="00161F40">
            <w:pPr>
              <w:pStyle w:val="Compact"/>
              <w:rPr>
                <w:lang w:val="en-GB"/>
              </w:rPr>
            </w:pPr>
          </w:p>
        </w:tc>
        <w:tc>
          <w:tcPr>
            <w:tcW w:w="1346" w:type="pct"/>
          </w:tcPr>
          <w:p w14:paraId="2AFE5F55" w14:textId="7CDF964A" w:rsidR="00161F40" w:rsidRPr="00FA486E" w:rsidRDefault="00C406B5">
            <w:pPr>
              <w:pStyle w:val="Compact"/>
              <w:rPr>
                <w:lang w:val="en-GB"/>
              </w:rPr>
            </w:pPr>
            <w:r w:rsidRPr="00FA486E">
              <w:rPr>
                <w:lang w:val="en-GB"/>
              </w:rPr>
              <w:t>20021 (74)</w:t>
            </w:r>
          </w:p>
        </w:tc>
        <w:tc>
          <w:tcPr>
            <w:tcW w:w="1346" w:type="pct"/>
          </w:tcPr>
          <w:p w14:paraId="7B9C142C" w14:textId="28958B7F" w:rsidR="00161F40" w:rsidRPr="00FA486E" w:rsidRDefault="00C406B5">
            <w:pPr>
              <w:pStyle w:val="Compact"/>
              <w:rPr>
                <w:lang w:val="en-GB"/>
              </w:rPr>
            </w:pPr>
            <w:r w:rsidRPr="00FA486E">
              <w:rPr>
                <w:lang w:val="en-GB"/>
              </w:rPr>
              <w:t>6944 (2</w:t>
            </w:r>
            <w:r w:rsidR="00741FB7">
              <w:rPr>
                <w:lang w:val="en-GB"/>
              </w:rPr>
              <w:t>6</w:t>
            </w:r>
            <w:r w:rsidRPr="00FA486E">
              <w:rPr>
                <w:lang w:val="en-GB"/>
              </w:rPr>
              <w:t>)</w:t>
            </w:r>
          </w:p>
        </w:tc>
      </w:tr>
      <w:tr w:rsidR="00161F40" w:rsidRPr="00A405BD" w14:paraId="7B8F7FC8" w14:textId="77777777" w:rsidTr="001312BF">
        <w:tblPrEx>
          <w:tblBorders>
            <w:bottom w:val="none" w:sz="0" w:space="0" w:color="auto"/>
          </w:tblBorders>
        </w:tblPrEx>
        <w:tc>
          <w:tcPr>
            <w:tcW w:w="1730" w:type="pct"/>
          </w:tcPr>
          <w:p w14:paraId="0A4EFA70" w14:textId="0C154F4C" w:rsidR="00161F40" w:rsidRPr="00FA486E" w:rsidRDefault="00C406B5">
            <w:pPr>
              <w:pStyle w:val="Compact"/>
              <w:rPr>
                <w:lang w:val="en-GB"/>
              </w:rPr>
            </w:pPr>
            <w:r w:rsidRPr="00FA486E">
              <w:rPr>
                <w:lang w:val="en-GB"/>
              </w:rPr>
              <w:t xml:space="preserve">Age, years </w:t>
            </w:r>
          </w:p>
        </w:tc>
        <w:tc>
          <w:tcPr>
            <w:tcW w:w="578" w:type="pct"/>
          </w:tcPr>
          <w:p w14:paraId="12EA4D31" w14:textId="77777777" w:rsidR="00161F40" w:rsidRPr="00FA486E" w:rsidRDefault="00161F40">
            <w:pPr>
              <w:pStyle w:val="Compact"/>
              <w:rPr>
                <w:lang w:val="en-GB"/>
              </w:rPr>
            </w:pPr>
          </w:p>
        </w:tc>
        <w:tc>
          <w:tcPr>
            <w:tcW w:w="1346" w:type="pct"/>
          </w:tcPr>
          <w:p w14:paraId="41A0149C" w14:textId="620F80A1" w:rsidR="00161F40" w:rsidRPr="00FA486E" w:rsidRDefault="00C406B5">
            <w:pPr>
              <w:pStyle w:val="Compact"/>
              <w:rPr>
                <w:lang w:val="en-GB"/>
              </w:rPr>
            </w:pPr>
            <w:r w:rsidRPr="00FA486E">
              <w:rPr>
                <w:lang w:val="en-GB"/>
              </w:rPr>
              <w:t>40 [25, 57]</w:t>
            </w:r>
          </w:p>
        </w:tc>
        <w:tc>
          <w:tcPr>
            <w:tcW w:w="1346" w:type="pct"/>
          </w:tcPr>
          <w:p w14:paraId="35438D46" w14:textId="5B757C35" w:rsidR="00161F40" w:rsidRPr="00FA486E" w:rsidRDefault="00C406B5">
            <w:pPr>
              <w:pStyle w:val="Compact"/>
              <w:rPr>
                <w:lang w:val="en-GB"/>
              </w:rPr>
            </w:pPr>
            <w:r w:rsidRPr="00FA486E">
              <w:rPr>
                <w:lang w:val="en-GB"/>
              </w:rPr>
              <w:t>46 [27, 64]</w:t>
            </w:r>
          </w:p>
        </w:tc>
      </w:tr>
      <w:tr w:rsidR="00161F40" w:rsidRPr="00A405BD" w14:paraId="11D451E0" w14:textId="77777777" w:rsidTr="001312BF">
        <w:tblPrEx>
          <w:tblBorders>
            <w:bottom w:val="none" w:sz="0" w:space="0" w:color="auto"/>
          </w:tblBorders>
        </w:tblPrEx>
        <w:tc>
          <w:tcPr>
            <w:tcW w:w="1730" w:type="pct"/>
          </w:tcPr>
          <w:p w14:paraId="4B261531" w14:textId="452ADE10" w:rsidR="00161F40" w:rsidRPr="00FA486E" w:rsidRDefault="00C406B5">
            <w:pPr>
              <w:pStyle w:val="Compact"/>
              <w:rPr>
                <w:lang w:val="en-GB"/>
              </w:rPr>
            </w:pPr>
            <w:r w:rsidRPr="00FA486E">
              <w:rPr>
                <w:lang w:val="en-GB"/>
              </w:rPr>
              <w:t xml:space="preserve">Sex </w:t>
            </w:r>
          </w:p>
        </w:tc>
        <w:tc>
          <w:tcPr>
            <w:tcW w:w="578" w:type="pct"/>
          </w:tcPr>
          <w:p w14:paraId="0F07C442" w14:textId="77777777" w:rsidR="00161F40" w:rsidRPr="00FA486E" w:rsidRDefault="00C406B5">
            <w:pPr>
              <w:pStyle w:val="Compact"/>
              <w:rPr>
                <w:lang w:val="en-GB"/>
              </w:rPr>
            </w:pPr>
            <w:r w:rsidRPr="00FA486E">
              <w:rPr>
                <w:lang w:val="en-GB"/>
              </w:rPr>
              <w:t>Male</w:t>
            </w:r>
          </w:p>
        </w:tc>
        <w:tc>
          <w:tcPr>
            <w:tcW w:w="1346" w:type="pct"/>
          </w:tcPr>
          <w:p w14:paraId="3800C815" w14:textId="47C09E8D" w:rsidR="00161F40" w:rsidRPr="00FA486E" w:rsidRDefault="00C406B5">
            <w:pPr>
              <w:pStyle w:val="Compact"/>
              <w:rPr>
                <w:lang w:val="en-GB"/>
              </w:rPr>
            </w:pPr>
            <w:r w:rsidRPr="00FA486E">
              <w:rPr>
                <w:lang w:val="en-GB"/>
              </w:rPr>
              <w:t>13134 (6</w:t>
            </w:r>
            <w:r w:rsidR="00741FB7">
              <w:rPr>
                <w:lang w:val="en-GB"/>
              </w:rPr>
              <w:t>6</w:t>
            </w:r>
            <w:r w:rsidRPr="00FA486E">
              <w:rPr>
                <w:lang w:val="en-GB"/>
              </w:rPr>
              <w:t>)</w:t>
            </w:r>
          </w:p>
        </w:tc>
        <w:tc>
          <w:tcPr>
            <w:tcW w:w="1346" w:type="pct"/>
          </w:tcPr>
          <w:p w14:paraId="110898A3" w14:textId="6C46CE9B" w:rsidR="00161F40" w:rsidRPr="00FA486E" w:rsidRDefault="00C406B5">
            <w:pPr>
              <w:pStyle w:val="Compact"/>
              <w:rPr>
                <w:lang w:val="en-GB"/>
              </w:rPr>
            </w:pPr>
            <w:r w:rsidRPr="00FA486E">
              <w:rPr>
                <w:lang w:val="en-GB"/>
              </w:rPr>
              <w:t>4680 (67)</w:t>
            </w:r>
          </w:p>
        </w:tc>
      </w:tr>
      <w:tr w:rsidR="00161F40" w:rsidRPr="00A405BD" w14:paraId="4D084462" w14:textId="77777777" w:rsidTr="001312BF">
        <w:tblPrEx>
          <w:tblBorders>
            <w:bottom w:val="none" w:sz="0" w:space="0" w:color="auto"/>
          </w:tblBorders>
        </w:tblPrEx>
        <w:tc>
          <w:tcPr>
            <w:tcW w:w="1730" w:type="pct"/>
          </w:tcPr>
          <w:p w14:paraId="1955BBBE" w14:textId="77777777" w:rsidR="00161F40" w:rsidRPr="00FA486E" w:rsidRDefault="00161F40">
            <w:pPr>
              <w:pStyle w:val="Compact"/>
              <w:rPr>
                <w:lang w:val="en-GB"/>
              </w:rPr>
            </w:pPr>
          </w:p>
        </w:tc>
        <w:tc>
          <w:tcPr>
            <w:tcW w:w="578" w:type="pct"/>
          </w:tcPr>
          <w:p w14:paraId="091038CD" w14:textId="77777777" w:rsidR="00161F40" w:rsidRPr="00FA486E" w:rsidRDefault="00C406B5">
            <w:pPr>
              <w:pStyle w:val="Compact"/>
              <w:rPr>
                <w:lang w:val="en-GB"/>
              </w:rPr>
            </w:pPr>
            <w:r w:rsidRPr="00FA486E">
              <w:rPr>
                <w:lang w:val="en-GB"/>
              </w:rPr>
              <w:t>Female</w:t>
            </w:r>
          </w:p>
        </w:tc>
        <w:tc>
          <w:tcPr>
            <w:tcW w:w="1346" w:type="pct"/>
          </w:tcPr>
          <w:p w14:paraId="4E5FBC9B" w14:textId="51C75807" w:rsidR="00161F40" w:rsidRPr="00FA486E" w:rsidRDefault="00C406B5">
            <w:pPr>
              <w:pStyle w:val="Compact"/>
              <w:rPr>
                <w:lang w:val="en-GB"/>
              </w:rPr>
            </w:pPr>
            <w:r w:rsidRPr="00FA486E">
              <w:rPr>
                <w:lang w:val="en-GB"/>
              </w:rPr>
              <w:t>6886 (34)</w:t>
            </w:r>
          </w:p>
        </w:tc>
        <w:tc>
          <w:tcPr>
            <w:tcW w:w="1346" w:type="pct"/>
          </w:tcPr>
          <w:p w14:paraId="49D35F9F" w14:textId="0AD90F7B" w:rsidR="00161F40" w:rsidRPr="00FA486E" w:rsidRDefault="00C406B5">
            <w:pPr>
              <w:pStyle w:val="Compact"/>
              <w:rPr>
                <w:lang w:val="en-GB"/>
              </w:rPr>
            </w:pPr>
            <w:r w:rsidRPr="00FA486E">
              <w:rPr>
                <w:lang w:val="en-GB"/>
              </w:rPr>
              <w:t>2263 (3</w:t>
            </w:r>
            <w:r w:rsidR="00741FB7">
              <w:rPr>
                <w:lang w:val="en-GB"/>
              </w:rPr>
              <w:t>3</w:t>
            </w:r>
            <w:r w:rsidRPr="00FA486E">
              <w:rPr>
                <w:lang w:val="en-GB"/>
              </w:rPr>
              <w:t>)</w:t>
            </w:r>
          </w:p>
        </w:tc>
      </w:tr>
      <w:tr w:rsidR="00161F40" w:rsidRPr="00A405BD" w14:paraId="7DC30AF2" w14:textId="77777777" w:rsidTr="001312BF">
        <w:tblPrEx>
          <w:tblBorders>
            <w:bottom w:val="none" w:sz="0" w:space="0" w:color="auto"/>
          </w:tblBorders>
        </w:tblPrEx>
        <w:tc>
          <w:tcPr>
            <w:tcW w:w="1730" w:type="pct"/>
          </w:tcPr>
          <w:p w14:paraId="51343379" w14:textId="44339DB4" w:rsidR="00161F40" w:rsidRPr="00FA486E" w:rsidRDefault="00C406B5">
            <w:pPr>
              <w:pStyle w:val="Compact"/>
              <w:rPr>
                <w:lang w:val="en-GB"/>
              </w:rPr>
            </w:pPr>
            <w:r w:rsidRPr="00FA486E">
              <w:rPr>
                <w:lang w:val="en-GB"/>
              </w:rPr>
              <w:t xml:space="preserve">GCS </w:t>
            </w:r>
          </w:p>
        </w:tc>
        <w:tc>
          <w:tcPr>
            <w:tcW w:w="578" w:type="pct"/>
          </w:tcPr>
          <w:p w14:paraId="5AA79AEC" w14:textId="77777777" w:rsidR="00161F40" w:rsidRPr="00FA486E" w:rsidRDefault="00161F40">
            <w:pPr>
              <w:pStyle w:val="Compact"/>
              <w:rPr>
                <w:lang w:val="en-GB"/>
              </w:rPr>
            </w:pPr>
          </w:p>
        </w:tc>
        <w:tc>
          <w:tcPr>
            <w:tcW w:w="1346" w:type="pct"/>
          </w:tcPr>
          <w:p w14:paraId="6AEF3423" w14:textId="4C7DE484" w:rsidR="00161F40" w:rsidRPr="00FA486E" w:rsidRDefault="00C406B5">
            <w:pPr>
              <w:pStyle w:val="Compact"/>
              <w:rPr>
                <w:lang w:val="en-GB"/>
              </w:rPr>
            </w:pPr>
            <w:r w:rsidRPr="00FA486E">
              <w:rPr>
                <w:lang w:val="en-GB"/>
              </w:rPr>
              <w:t>15 [15, 15]</w:t>
            </w:r>
          </w:p>
        </w:tc>
        <w:tc>
          <w:tcPr>
            <w:tcW w:w="1346" w:type="pct"/>
          </w:tcPr>
          <w:p w14:paraId="75B00BD6" w14:textId="37987ADC" w:rsidR="00161F40" w:rsidRPr="00FA486E" w:rsidRDefault="00C406B5">
            <w:pPr>
              <w:pStyle w:val="Compact"/>
              <w:rPr>
                <w:lang w:val="en-GB"/>
              </w:rPr>
            </w:pPr>
            <w:r w:rsidRPr="00FA486E">
              <w:rPr>
                <w:lang w:val="en-GB"/>
              </w:rPr>
              <w:t>15 [14, 15]</w:t>
            </w:r>
          </w:p>
        </w:tc>
      </w:tr>
      <w:tr w:rsidR="00161F40" w:rsidRPr="00A405BD" w14:paraId="6BD8A9BC" w14:textId="77777777" w:rsidTr="001312BF">
        <w:tblPrEx>
          <w:tblBorders>
            <w:bottom w:val="none" w:sz="0" w:space="0" w:color="auto"/>
          </w:tblBorders>
        </w:tblPrEx>
        <w:tc>
          <w:tcPr>
            <w:tcW w:w="1730" w:type="pct"/>
          </w:tcPr>
          <w:p w14:paraId="3E87F002" w14:textId="6FAE1213" w:rsidR="00161F40" w:rsidRPr="00FA486E" w:rsidRDefault="00C406B5">
            <w:pPr>
              <w:pStyle w:val="Compact"/>
              <w:rPr>
                <w:lang w:val="en-GB"/>
              </w:rPr>
            </w:pPr>
            <w:r w:rsidRPr="00FA486E">
              <w:rPr>
                <w:lang w:val="en-GB"/>
              </w:rPr>
              <w:t xml:space="preserve">SBP </w:t>
            </w:r>
          </w:p>
        </w:tc>
        <w:tc>
          <w:tcPr>
            <w:tcW w:w="578" w:type="pct"/>
          </w:tcPr>
          <w:p w14:paraId="000F4D94" w14:textId="77777777" w:rsidR="00161F40" w:rsidRPr="00FA486E" w:rsidRDefault="00161F40">
            <w:pPr>
              <w:pStyle w:val="Compact"/>
              <w:rPr>
                <w:lang w:val="en-GB"/>
              </w:rPr>
            </w:pPr>
          </w:p>
        </w:tc>
        <w:tc>
          <w:tcPr>
            <w:tcW w:w="1346" w:type="pct"/>
          </w:tcPr>
          <w:p w14:paraId="661FD9DD" w14:textId="23E9164D" w:rsidR="00161F40" w:rsidRPr="00FA486E" w:rsidRDefault="00C406B5">
            <w:pPr>
              <w:pStyle w:val="Compact"/>
              <w:rPr>
                <w:lang w:val="en-GB"/>
              </w:rPr>
            </w:pPr>
            <w:r w:rsidRPr="00FA486E">
              <w:rPr>
                <w:lang w:val="en-GB"/>
              </w:rPr>
              <w:t>139 [125, 153]</w:t>
            </w:r>
          </w:p>
        </w:tc>
        <w:tc>
          <w:tcPr>
            <w:tcW w:w="1346" w:type="pct"/>
          </w:tcPr>
          <w:p w14:paraId="6EF5EED7" w14:textId="1F528094" w:rsidR="00161F40" w:rsidRPr="00FA486E" w:rsidRDefault="00C406B5">
            <w:pPr>
              <w:pStyle w:val="Compact"/>
              <w:rPr>
                <w:lang w:val="en-GB"/>
              </w:rPr>
            </w:pPr>
            <w:r w:rsidRPr="00FA486E">
              <w:rPr>
                <w:lang w:val="en-GB"/>
              </w:rPr>
              <w:t>136 [120, 152]</w:t>
            </w:r>
          </w:p>
        </w:tc>
      </w:tr>
      <w:tr w:rsidR="00161F40" w:rsidRPr="00A405BD" w14:paraId="1C1FCFAF" w14:textId="77777777" w:rsidTr="001312BF">
        <w:tblPrEx>
          <w:tblBorders>
            <w:bottom w:val="none" w:sz="0" w:space="0" w:color="auto"/>
          </w:tblBorders>
        </w:tblPrEx>
        <w:tc>
          <w:tcPr>
            <w:tcW w:w="1730" w:type="pct"/>
          </w:tcPr>
          <w:p w14:paraId="71F48668" w14:textId="3B1B655D" w:rsidR="00161F40" w:rsidRPr="00FA486E" w:rsidRDefault="00C406B5">
            <w:pPr>
              <w:pStyle w:val="Compact"/>
              <w:rPr>
                <w:lang w:val="en-GB"/>
              </w:rPr>
            </w:pPr>
            <w:r w:rsidRPr="00FA486E">
              <w:rPr>
                <w:lang w:val="en-GB"/>
              </w:rPr>
              <w:t xml:space="preserve">RR </w:t>
            </w:r>
          </w:p>
        </w:tc>
        <w:tc>
          <w:tcPr>
            <w:tcW w:w="578" w:type="pct"/>
          </w:tcPr>
          <w:p w14:paraId="4CD54063" w14:textId="77777777" w:rsidR="00161F40" w:rsidRPr="00FA486E" w:rsidRDefault="00161F40">
            <w:pPr>
              <w:pStyle w:val="Compact"/>
              <w:rPr>
                <w:lang w:val="en-GB"/>
              </w:rPr>
            </w:pPr>
          </w:p>
        </w:tc>
        <w:tc>
          <w:tcPr>
            <w:tcW w:w="1346" w:type="pct"/>
          </w:tcPr>
          <w:p w14:paraId="2C13F281" w14:textId="252DCCF7" w:rsidR="00161F40" w:rsidRPr="00FA486E" w:rsidRDefault="00C406B5">
            <w:pPr>
              <w:pStyle w:val="Compact"/>
              <w:rPr>
                <w:lang w:val="en-GB"/>
              </w:rPr>
            </w:pPr>
            <w:r w:rsidRPr="00FA486E">
              <w:rPr>
                <w:lang w:val="en-GB"/>
              </w:rPr>
              <w:t>18 [15, 20]</w:t>
            </w:r>
          </w:p>
        </w:tc>
        <w:tc>
          <w:tcPr>
            <w:tcW w:w="1346" w:type="pct"/>
          </w:tcPr>
          <w:p w14:paraId="144AFEDB" w14:textId="0F2D2FCC" w:rsidR="00161F40" w:rsidRPr="00FA486E" w:rsidRDefault="00C406B5">
            <w:pPr>
              <w:pStyle w:val="Compact"/>
              <w:rPr>
                <w:lang w:val="en-GB"/>
              </w:rPr>
            </w:pPr>
            <w:r w:rsidRPr="00FA486E">
              <w:rPr>
                <w:lang w:val="en-GB"/>
              </w:rPr>
              <w:t>19 [16, 22]</w:t>
            </w:r>
          </w:p>
        </w:tc>
      </w:tr>
      <w:tr w:rsidR="00161F40" w:rsidRPr="00A405BD" w14:paraId="11C7BC8A" w14:textId="77777777" w:rsidTr="001312BF">
        <w:tblPrEx>
          <w:tblBorders>
            <w:bottom w:val="none" w:sz="0" w:space="0" w:color="auto"/>
          </w:tblBorders>
        </w:tblPrEx>
        <w:tc>
          <w:tcPr>
            <w:tcW w:w="1730" w:type="pct"/>
          </w:tcPr>
          <w:p w14:paraId="0B6F21ED" w14:textId="538F7043" w:rsidR="00161F40" w:rsidRPr="00FA486E" w:rsidRDefault="00C406B5">
            <w:pPr>
              <w:pStyle w:val="Compact"/>
              <w:rPr>
                <w:lang w:val="en-GB"/>
              </w:rPr>
            </w:pPr>
            <w:r w:rsidRPr="00FA486E">
              <w:rPr>
                <w:lang w:val="en-GB"/>
              </w:rPr>
              <w:t xml:space="preserve">30-day survival </w:t>
            </w:r>
          </w:p>
        </w:tc>
        <w:tc>
          <w:tcPr>
            <w:tcW w:w="578" w:type="pct"/>
          </w:tcPr>
          <w:p w14:paraId="41754129" w14:textId="77777777" w:rsidR="00161F40" w:rsidRPr="00FA486E" w:rsidRDefault="00C406B5">
            <w:pPr>
              <w:pStyle w:val="Compact"/>
              <w:rPr>
                <w:lang w:val="en-GB"/>
              </w:rPr>
            </w:pPr>
            <w:r w:rsidRPr="00FA486E">
              <w:rPr>
                <w:lang w:val="en-GB"/>
              </w:rPr>
              <w:t>Alive</w:t>
            </w:r>
          </w:p>
        </w:tc>
        <w:tc>
          <w:tcPr>
            <w:tcW w:w="1346" w:type="pct"/>
          </w:tcPr>
          <w:p w14:paraId="4A51A759" w14:textId="6A9C8E18" w:rsidR="00161F40" w:rsidRPr="00FA486E" w:rsidRDefault="00C406B5">
            <w:pPr>
              <w:pStyle w:val="Compact"/>
              <w:rPr>
                <w:lang w:val="en-GB"/>
              </w:rPr>
            </w:pPr>
            <w:r w:rsidRPr="00FA486E">
              <w:rPr>
                <w:lang w:val="en-GB"/>
              </w:rPr>
              <w:t>1927</w:t>
            </w:r>
            <w:r w:rsidR="00741FB7">
              <w:rPr>
                <w:lang w:val="en-GB"/>
              </w:rPr>
              <w:t>1</w:t>
            </w:r>
            <w:r w:rsidRPr="00FA486E">
              <w:rPr>
                <w:lang w:val="en-GB"/>
              </w:rPr>
              <w:t xml:space="preserve"> (96)</w:t>
            </w:r>
          </w:p>
        </w:tc>
        <w:tc>
          <w:tcPr>
            <w:tcW w:w="1346" w:type="pct"/>
          </w:tcPr>
          <w:p w14:paraId="398DD8ED" w14:textId="2149D3C3" w:rsidR="00161F40" w:rsidRPr="00FA486E" w:rsidRDefault="00C406B5">
            <w:pPr>
              <w:pStyle w:val="Compact"/>
              <w:rPr>
                <w:lang w:val="en-GB"/>
              </w:rPr>
            </w:pPr>
            <w:r w:rsidRPr="00FA486E">
              <w:rPr>
                <w:lang w:val="en-GB"/>
              </w:rPr>
              <w:t>6546 (94)</w:t>
            </w:r>
          </w:p>
        </w:tc>
      </w:tr>
      <w:tr w:rsidR="00161F40" w:rsidRPr="00A405BD" w14:paraId="0E2EAAE9" w14:textId="77777777" w:rsidTr="001312BF">
        <w:tblPrEx>
          <w:tblBorders>
            <w:bottom w:val="none" w:sz="0" w:space="0" w:color="auto"/>
          </w:tblBorders>
        </w:tblPrEx>
        <w:tc>
          <w:tcPr>
            <w:tcW w:w="1730" w:type="pct"/>
          </w:tcPr>
          <w:p w14:paraId="3698B5B4" w14:textId="77777777" w:rsidR="00161F40" w:rsidRPr="00FA486E" w:rsidRDefault="00161F40">
            <w:pPr>
              <w:pStyle w:val="Compact"/>
              <w:rPr>
                <w:lang w:val="en-GB"/>
              </w:rPr>
            </w:pPr>
          </w:p>
        </w:tc>
        <w:tc>
          <w:tcPr>
            <w:tcW w:w="578" w:type="pct"/>
          </w:tcPr>
          <w:p w14:paraId="1B7F7D61" w14:textId="77777777" w:rsidR="00161F40" w:rsidRPr="00FA486E" w:rsidRDefault="00C406B5">
            <w:pPr>
              <w:pStyle w:val="Compact"/>
              <w:rPr>
                <w:lang w:val="en-GB"/>
              </w:rPr>
            </w:pPr>
            <w:r w:rsidRPr="00FA486E">
              <w:rPr>
                <w:lang w:val="en-GB"/>
              </w:rPr>
              <w:t>Dead</w:t>
            </w:r>
          </w:p>
        </w:tc>
        <w:tc>
          <w:tcPr>
            <w:tcW w:w="1346" w:type="pct"/>
          </w:tcPr>
          <w:p w14:paraId="04F9B48E" w14:textId="4857BFB4" w:rsidR="00161F40" w:rsidRPr="00FA486E" w:rsidRDefault="00C406B5">
            <w:pPr>
              <w:pStyle w:val="Compact"/>
              <w:rPr>
                <w:lang w:val="en-GB"/>
              </w:rPr>
            </w:pPr>
            <w:r w:rsidRPr="00FA486E">
              <w:rPr>
                <w:lang w:val="en-GB"/>
              </w:rPr>
              <w:t>750 (</w:t>
            </w:r>
            <w:r w:rsidR="00741FB7">
              <w:rPr>
                <w:lang w:val="en-GB"/>
              </w:rPr>
              <w:t>4</w:t>
            </w:r>
            <w:r w:rsidRPr="00FA486E">
              <w:rPr>
                <w:lang w:val="en-GB"/>
              </w:rPr>
              <w:t>)</w:t>
            </w:r>
          </w:p>
        </w:tc>
        <w:tc>
          <w:tcPr>
            <w:tcW w:w="1346" w:type="pct"/>
          </w:tcPr>
          <w:p w14:paraId="7A90558B" w14:textId="76C1B2DF" w:rsidR="00161F40" w:rsidRPr="00FA486E" w:rsidRDefault="00C406B5">
            <w:pPr>
              <w:pStyle w:val="Compact"/>
              <w:rPr>
                <w:lang w:val="en-GB"/>
              </w:rPr>
            </w:pPr>
            <w:r w:rsidRPr="00FA486E">
              <w:rPr>
                <w:lang w:val="en-GB"/>
              </w:rPr>
              <w:t>397 (</w:t>
            </w:r>
            <w:r w:rsidR="00741FB7">
              <w:rPr>
                <w:lang w:val="en-GB"/>
              </w:rPr>
              <w:t>6</w:t>
            </w:r>
            <w:r w:rsidRPr="00FA486E">
              <w:rPr>
                <w:lang w:val="en-GB"/>
              </w:rPr>
              <w:t>)</w:t>
            </w:r>
          </w:p>
        </w:tc>
      </w:tr>
      <w:tr w:rsidR="00161F40" w:rsidRPr="00A405BD" w14:paraId="0BD1B46F" w14:textId="77777777" w:rsidTr="001312BF">
        <w:tblPrEx>
          <w:tblBorders>
            <w:bottom w:val="none" w:sz="0" w:space="0" w:color="auto"/>
          </w:tblBorders>
        </w:tblPrEx>
        <w:tc>
          <w:tcPr>
            <w:tcW w:w="1730" w:type="pct"/>
          </w:tcPr>
          <w:p w14:paraId="2F5F7866" w14:textId="7FF80C25" w:rsidR="00161F40" w:rsidRPr="00FA486E" w:rsidRDefault="00C406B5">
            <w:pPr>
              <w:pStyle w:val="Compact"/>
              <w:rPr>
                <w:lang w:val="en-GB"/>
              </w:rPr>
            </w:pPr>
            <w:r w:rsidRPr="00FA486E">
              <w:rPr>
                <w:lang w:val="en-GB"/>
              </w:rPr>
              <w:t xml:space="preserve">ISS </w:t>
            </w:r>
          </w:p>
        </w:tc>
        <w:tc>
          <w:tcPr>
            <w:tcW w:w="578" w:type="pct"/>
          </w:tcPr>
          <w:p w14:paraId="7C9AAD07" w14:textId="77777777" w:rsidR="00161F40" w:rsidRPr="00FA486E" w:rsidRDefault="00161F40">
            <w:pPr>
              <w:pStyle w:val="Compact"/>
              <w:rPr>
                <w:lang w:val="en-GB"/>
              </w:rPr>
            </w:pPr>
          </w:p>
        </w:tc>
        <w:tc>
          <w:tcPr>
            <w:tcW w:w="1346" w:type="pct"/>
          </w:tcPr>
          <w:p w14:paraId="54ECECCA" w14:textId="046B68CC" w:rsidR="00161F40" w:rsidRPr="00FA486E" w:rsidRDefault="00C406B5">
            <w:pPr>
              <w:pStyle w:val="Compact"/>
              <w:rPr>
                <w:lang w:val="en-GB"/>
              </w:rPr>
            </w:pPr>
            <w:r w:rsidRPr="00FA486E">
              <w:rPr>
                <w:lang w:val="en-GB"/>
              </w:rPr>
              <w:t>3 [1, 9]</w:t>
            </w:r>
          </w:p>
        </w:tc>
        <w:tc>
          <w:tcPr>
            <w:tcW w:w="1346" w:type="pct"/>
          </w:tcPr>
          <w:p w14:paraId="2044D5FB" w14:textId="007B551D" w:rsidR="00161F40" w:rsidRPr="00FA486E" w:rsidRDefault="00C406B5">
            <w:pPr>
              <w:pStyle w:val="Compact"/>
              <w:rPr>
                <w:lang w:val="en-GB"/>
              </w:rPr>
            </w:pPr>
            <w:r w:rsidRPr="00FA486E">
              <w:rPr>
                <w:lang w:val="en-GB"/>
              </w:rPr>
              <w:t>5 [1, 13]</w:t>
            </w:r>
          </w:p>
        </w:tc>
      </w:tr>
      <w:tr w:rsidR="00161F40" w:rsidRPr="00A405BD" w14:paraId="6D9B35FF" w14:textId="77777777" w:rsidTr="001312BF">
        <w:tblPrEx>
          <w:tblBorders>
            <w:bottom w:val="none" w:sz="0" w:space="0" w:color="auto"/>
          </w:tblBorders>
        </w:tblPrEx>
        <w:tc>
          <w:tcPr>
            <w:tcW w:w="1730" w:type="pct"/>
          </w:tcPr>
          <w:p w14:paraId="0703CD49" w14:textId="167CEB71" w:rsidR="00161F40" w:rsidRPr="00FA486E" w:rsidRDefault="00C406B5">
            <w:pPr>
              <w:pStyle w:val="Compact"/>
              <w:rPr>
                <w:lang w:val="en-GB"/>
              </w:rPr>
            </w:pPr>
            <w:r w:rsidRPr="00FA486E">
              <w:rPr>
                <w:lang w:val="en-GB"/>
              </w:rPr>
              <w:t xml:space="preserve">NISS </w:t>
            </w:r>
          </w:p>
        </w:tc>
        <w:tc>
          <w:tcPr>
            <w:tcW w:w="578" w:type="pct"/>
          </w:tcPr>
          <w:p w14:paraId="37E71D85" w14:textId="77777777" w:rsidR="00161F40" w:rsidRPr="00FA486E" w:rsidRDefault="00161F40">
            <w:pPr>
              <w:pStyle w:val="Compact"/>
              <w:rPr>
                <w:lang w:val="en-GB"/>
              </w:rPr>
            </w:pPr>
          </w:p>
        </w:tc>
        <w:tc>
          <w:tcPr>
            <w:tcW w:w="1346" w:type="pct"/>
          </w:tcPr>
          <w:p w14:paraId="38645367" w14:textId="19B7DC84" w:rsidR="00161F40" w:rsidRPr="00FA486E" w:rsidRDefault="00C406B5">
            <w:pPr>
              <w:pStyle w:val="Compact"/>
              <w:rPr>
                <w:lang w:val="en-GB"/>
              </w:rPr>
            </w:pPr>
            <w:r w:rsidRPr="00FA486E">
              <w:rPr>
                <w:lang w:val="en-GB"/>
              </w:rPr>
              <w:t>3 [1, 12]</w:t>
            </w:r>
          </w:p>
        </w:tc>
        <w:tc>
          <w:tcPr>
            <w:tcW w:w="1346" w:type="pct"/>
          </w:tcPr>
          <w:p w14:paraId="7BE07952" w14:textId="043ED557" w:rsidR="00161F40" w:rsidRPr="00FA486E" w:rsidRDefault="00C406B5">
            <w:pPr>
              <w:pStyle w:val="Compact"/>
              <w:rPr>
                <w:lang w:val="en-GB"/>
              </w:rPr>
            </w:pPr>
            <w:r w:rsidRPr="00FA486E">
              <w:rPr>
                <w:lang w:val="en-GB"/>
              </w:rPr>
              <w:t>6 [1, 17]</w:t>
            </w:r>
          </w:p>
        </w:tc>
      </w:tr>
      <w:tr w:rsidR="00161F40" w:rsidRPr="00A405BD" w14:paraId="2F4002FE" w14:textId="77777777" w:rsidTr="001312BF">
        <w:tblPrEx>
          <w:tblBorders>
            <w:bottom w:val="none" w:sz="0" w:space="0" w:color="auto"/>
          </w:tblBorders>
        </w:tblPrEx>
        <w:tc>
          <w:tcPr>
            <w:tcW w:w="1730" w:type="pct"/>
          </w:tcPr>
          <w:p w14:paraId="76737789" w14:textId="798B0EB8" w:rsidR="00161F40" w:rsidRPr="00FA486E" w:rsidRDefault="00C406B5">
            <w:pPr>
              <w:pStyle w:val="Compact"/>
              <w:rPr>
                <w:lang w:val="en-GB"/>
              </w:rPr>
            </w:pPr>
            <w:r w:rsidRPr="00FA486E">
              <w:rPr>
                <w:lang w:val="en-GB"/>
              </w:rPr>
              <w:t xml:space="preserve">ISS&gt;15 </w:t>
            </w:r>
          </w:p>
        </w:tc>
        <w:tc>
          <w:tcPr>
            <w:tcW w:w="578" w:type="pct"/>
          </w:tcPr>
          <w:p w14:paraId="46BDC55F" w14:textId="77777777" w:rsidR="00161F40" w:rsidRPr="00FA486E" w:rsidRDefault="00C406B5">
            <w:pPr>
              <w:pStyle w:val="Compact"/>
              <w:rPr>
                <w:lang w:val="en-GB"/>
              </w:rPr>
            </w:pPr>
            <w:r w:rsidRPr="00FA486E">
              <w:rPr>
                <w:lang w:val="en-GB"/>
              </w:rPr>
              <w:t>No</w:t>
            </w:r>
          </w:p>
        </w:tc>
        <w:tc>
          <w:tcPr>
            <w:tcW w:w="1346" w:type="pct"/>
          </w:tcPr>
          <w:p w14:paraId="79499810" w14:textId="058CE0DB" w:rsidR="00161F40" w:rsidRPr="00FA486E" w:rsidRDefault="00C406B5">
            <w:pPr>
              <w:pStyle w:val="Compact"/>
              <w:rPr>
                <w:lang w:val="en-GB"/>
              </w:rPr>
            </w:pPr>
            <w:r w:rsidRPr="00FA486E">
              <w:rPr>
                <w:lang w:val="en-GB"/>
              </w:rPr>
              <w:t>1734</w:t>
            </w:r>
            <w:r w:rsidR="00741FB7">
              <w:rPr>
                <w:lang w:val="en-GB"/>
              </w:rPr>
              <w:t>4</w:t>
            </w:r>
            <w:r w:rsidRPr="00FA486E">
              <w:rPr>
                <w:lang w:val="en-GB"/>
              </w:rPr>
              <w:t xml:space="preserve"> (8</w:t>
            </w:r>
            <w:r w:rsidR="00741FB7">
              <w:rPr>
                <w:lang w:val="en-GB"/>
              </w:rPr>
              <w:t>7</w:t>
            </w:r>
            <w:r w:rsidRPr="00FA486E">
              <w:rPr>
                <w:lang w:val="en-GB"/>
              </w:rPr>
              <w:t>)</w:t>
            </w:r>
          </w:p>
        </w:tc>
        <w:tc>
          <w:tcPr>
            <w:tcW w:w="1346" w:type="pct"/>
          </w:tcPr>
          <w:p w14:paraId="175B93C1" w14:textId="389C4417" w:rsidR="00161F40" w:rsidRPr="00FA486E" w:rsidRDefault="00C406B5">
            <w:pPr>
              <w:pStyle w:val="Compact"/>
              <w:rPr>
                <w:lang w:val="en-GB"/>
              </w:rPr>
            </w:pPr>
            <w:r w:rsidRPr="00FA486E">
              <w:rPr>
                <w:lang w:val="en-GB"/>
              </w:rPr>
              <w:t>5530 (</w:t>
            </w:r>
            <w:r w:rsidR="00741FB7">
              <w:rPr>
                <w:lang w:val="en-GB"/>
              </w:rPr>
              <w:t>80</w:t>
            </w:r>
            <w:r w:rsidRPr="00FA486E">
              <w:rPr>
                <w:lang w:val="en-GB"/>
              </w:rPr>
              <w:t>)</w:t>
            </w:r>
          </w:p>
        </w:tc>
      </w:tr>
      <w:tr w:rsidR="00161F40" w:rsidRPr="00A405BD" w14:paraId="5EEE6749" w14:textId="77777777" w:rsidTr="00FA486E">
        <w:tblPrEx>
          <w:tblBorders>
            <w:bottom w:val="none" w:sz="0" w:space="0" w:color="auto"/>
          </w:tblBorders>
        </w:tblPrEx>
        <w:tc>
          <w:tcPr>
            <w:tcW w:w="1730" w:type="pct"/>
          </w:tcPr>
          <w:p w14:paraId="45BFA6BC" w14:textId="77777777" w:rsidR="00161F40" w:rsidRPr="00FA486E" w:rsidRDefault="00161F40">
            <w:pPr>
              <w:pStyle w:val="Compact"/>
              <w:rPr>
                <w:lang w:val="en-GB"/>
              </w:rPr>
            </w:pPr>
          </w:p>
        </w:tc>
        <w:tc>
          <w:tcPr>
            <w:tcW w:w="578" w:type="pct"/>
          </w:tcPr>
          <w:p w14:paraId="646C59AE" w14:textId="77777777" w:rsidR="00161F40" w:rsidRPr="00FA486E" w:rsidRDefault="00C406B5">
            <w:pPr>
              <w:pStyle w:val="Compact"/>
              <w:rPr>
                <w:lang w:val="en-GB"/>
              </w:rPr>
            </w:pPr>
            <w:r w:rsidRPr="00FA486E">
              <w:rPr>
                <w:lang w:val="en-GB"/>
              </w:rPr>
              <w:t>Yes</w:t>
            </w:r>
          </w:p>
        </w:tc>
        <w:tc>
          <w:tcPr>
            <w:tcW w:w="1346" w:type="pct"/>
          </w:tcPr>
          <w:p w14:paraId="2BB94AD1" w14:textId="66C60000" w:rsidR="00161F40" w:rsidRPr="00FA486E" w:rsidRDefault="00C406B5">
            <w:pPr>
              <w:pStyle w:val="Compact"/>
              <w:rPr>
                <w:lang w:val="en-GB"/>
              </w:rPr>
            </w:pPr>
            <w:r w:rsidRPr="00FA486E">
              <w:rPr>
                <w:lang w:val="en-GB"/>
              </w:rPr>
              <w:t>2677 (13)</w:t>
            </w:r>
          </w:p>
        </w:tc>
        <w:tc>
          <w:tcPr>
            <w:tcW w:w="1346" w:type="pct"/>
          </w:tcPr>
          <w:p w14:paraId="7E780F43" w14:textId="38E8233B" w:rsidR="00161F40" w:rsidRPr="00FA486E" w:rsidRDefault="00C406B5">
            <w:pPr>
              <w:pStyle w:val="Compact"/>
              <w:rPr>
                <w:lang w:val="en-GB"/>
              </w:rPr>
            </w:pPr>
            <w:r w:rsidRPr="00FA486E">
              <w:rPr>
                <w:lang w:val="en-GB"/>
              </w:rPr>
              <w:t>1414 (20)</w:t>
            </w:r>
          </w:p>
        </w:tc>
      </w:tr>
      <w:tr w:rsidR="00CC26A6" w14:paraId="6BFBFFEB" w14:textId="77777777" w:rsidTr="00FA486E">
        <w:tblPrEx>
          <w:tblBorders>
            <w:bottom w:val="none" w:sz="0" w:space="0" w:color="auto"/>
          </w:tblBorders>
        </w:tblPrEx>
        <w:tc>
          <w:tcPr>
            <w:tcW w:w="1730" w:type="pct"/>
            <w:tcBorders>
              <w:bottom w:val="single" w:sz="4" w:space="0" w:color="auto"/>
            </w:tcBorders>
            <w:vAlign w:val="bottom"/>
          </w:tcPr>
          <w:p w14:paraId="7AFD55B9" w14:textId="77777777" w:rsidR="00161F40" w:rsidRPr="00FA486E" w:rsidRDefault="00C406B5">
            <w:pPr>
              <w:pStyle w:val="Compact"/>
              <w:rPr>
                <w:b/>
                <w:lang w:val="en-GB"/>
              </w:rPr>
            </w:pPr>
            <w:r w:rsidRPr="00FA486E">
              <w:rPr>
                <w:b/>
                <w:lang w:val="en-GB"/>
              </w:rPr>
              <w:t>Characteristic</w:t>
            </w:r>
          </w:p>
        </w:tc>
        <w:tc>
          <w:tcPr>
            <w:tcW w:w="578" w:type="pct"/>
            <w:tcBorders>
              <w:bottom w:val="single" w:sz="4" w:space="0" w:color="auto"/>
            </w:tcBorders>
            <w:vAlign w:val="bottom"/>
          </w:tcPr>
          <w:p w14:paraId="63CEA439" w14:textId="77777777" w:rsidR="00161F40" w:rsidRPr="00FA486E" w:rsidRDefault="00C406B5">
            <w:pPr>
              <w:pStyle w:val="Compact"/>
              <w:rPr>
                <w:b/>
                <w:lang w:val="en-GB"/>
              </w:rPr>
            </w:pPr>
            <w:r w:rsidRPr="00FA486E">
              <w:rPr>
                <w:b/>
                <w:lang w:val="en-GB"/>
              </w:rPr>
              <w:t>Level</w:t>
            </w:r>
          </w:p>
        </w:tc>
        <w:tc>
          <w:tcPr>
            <w:tcW w:w="1346" w:type="pct"/>
            <w:tcBorders>
              <w:bottom w:val="single" w:sz="4" w:space="0" w:color="auto"/>
            </w:tcBorders>
            <w:vAlign w:val="bottom"/>
          </w:tcPr>
          <w:p w14:paraId="097F0F07" w14:textId="77777777" w:rsidR="00161F40" w:rsidRPr="00FA486E" w:rsidRDefault="00C406B5">
            <w:pPr>
              <w:pStyle w:val="Compact"/>
              <w:rPr>
                <w:b/>
                <w:lang w:val="en-GB"/>
              </w:rPr>
            </w:pPr>
            <w:r w:rsidRPr="00FA486E">
              <w:rPr>
                <w:b/>
                <w:lang w:val="en-GB"/>
              </w:rPr>
              <w:t>Metropolitan</w:t>
            </w:r>
          </w:p>
        </w:tc>
        <w:tc>
          <w:tcPr>
            <w:tcW w:w="1346" w:type="pct"/>
            <w:tcBorders>
              <w:bottom w:val="single" w:sz="4" w:space="0" w:color="auto"/>
            </w:tcBorders>
            <w:vAlign w:val="bottom"/>
          </w:tcPr>
          <w:p w14:paraId="6A703DBB" w14:textId="77777777" w:rsidR="00161F40" w:rsidRPr="00FA486E" w:rsidRDefault="00C406B5">
            <w:pPr>
              <w:pStyle w:val="Compact"/>
              <w:rPr>
                <w:b/>
                <w:lang w:val="en-GB"/>
              </w:rPr>
            </w:pPr>
            <w:r w:rsidRPr="00FA486E">
              <w:rPr>
                <w:b/>
                <w:lang w:val="en-GB"/>
              </w:rPr>
              <w:t>Non-metropolitan</w:t>
            </w:r>
          </w:p>
        </w:tc>
      </w:tr>
      <w:tr w:rsidR="00161F40" w:rsidRPr="00A405BD" w14:paraId="7A25A601" w14:textId="77777777" w:rsidTr="00FA486E">
        <w:tblPrEx>
          <w:tblBorders>
            <w:bottom w:val="none" w:sz="0" w:space="0" w:color="auto"/>
          </w:tblBorders>
        </w:tblPrEx>
        <w:tc>
          <w:tcPr>
            <w:tcW w:w="1730" w:type="pct"/>
            <w:tcBorders>
              <w:top w:val="single" w:sz="4" w:space="0" w:color="auto"/>
            </w:tcBorders>
          </w:tcPr>
          <w:p w14:paraId="00A7732B" w14:textId="3C9C6C65" w:rsidR="00161F40" w:rsidRPr="00FA486E" w:rsidRDefault="00C406B5">
            <w:pPr>
              <w:pStyle w:val="Compact"/>
              <w:rPr>
                <w:lang w:val="en-GB"/>
              </w:rPr>
            </w:pPr>
            <w:r w:rsidRPr="00FA486E">
              <w:rPr>
                <w:lang w:val="en-GB"/>
              </w:rPr>
              <w:t xml:space="preserve">n </w:t>
            </w:r>
          </w:p>
        </w:tc>
        <w:tc>
          <w:tcPr>
            <w:tcW w:w="578" w:type="pct"/>
            <w:tcBorders>
              <w:top w:val="single" w:sz="4" w:space="0" w:color="auto"/>
            </w:tcBorders>
          </w:tcPr>
          <w:p w14:paraId="32F9EFB2" w14:textId="77777777" w:rsidR="00161F40" w:rsidRPr="00FA486E" w:rsidRDefault="00161F40">
            <w:pPr>
              <w:pStyle w:val="Compact"/>
              <w:rPr>
                <w:lang w:val="en-GB"/>
              </w:rPr>
            </w:pPr>
          </w:p>
        </w:tc>
        <w:tc>
          <w:tcPr>
            <w:tcW w:w="1346" w:type="pct"/>
            <w:tcBorders>
              <w:top w:val="single" w:sz="4" w:space="0" w:color="auto"/>
            </w:tcBorders>
          </w:tcPr>
          <w:p w14:paraId="396D468C" w14:textId="57F72FFD" w:rsidR="00161F40" w:rsidRPr="00FA486E" w:rsidRDefault="00C406B5">
            <w:pPr>
              <w:pStyle w:val="Compact"/>
              <w:rPr>
                <w:lang w:val="en-GB"/>
              </w:rPr>
            </w:pPr>
            <w:r w:rsidRPr="00FA486E">
              <w:rPr>
                <w:lang w:val="en-GB"/>
              </w:rPr>
              <w:t>13042 (48)</w:t>
            </w:r>
          </w:p>
        </w:tc>
        <w:tc>
          <w:tcPr>
            <w:tcW w:w="1346" w:type="pct"/>
            <w:tcBorders>
              <w:top w:val="single" w:sz="4" w:space="0" w:color="auto"/>
            </w:tcBorders>
          </w:tcPr>
          <w:p w14:paraId="303847C2" w14:textId="40F8D9D2" w:rsidR="00161F40" w:rsidRPr="00FA486E" w:rsidRDefault="00C406B5">
            <w:pPr>
              <w:pStyle w:val="Compact"/>
              <w:rPr>
                <w:lang w:val="en-GB"/>
              </w:rPr>
            </w:pPr>
            <w:r w:rsidRPr="00FA486E">
              <w:rPr>
                <w:lang w:val="en-GB"/>
              </w:rPr>
              <w:t>13923 (5</w:t>
            </w:r>
            <w:r w:rsidR="00FA3183">
              <w:rPr>
                <w:lang w:val="en-GB"/>
              </w:rPr>
              <w:t>2</w:t>
            </w:r>
            <w:r w:rsidRPr="00FA486E">
              <w:rPr>
                <w:lang w:val="en-GB"/>
              </w:rPr>
              <w:t>)</w:t>
            </w:r>
          </w:p>
        </w:tc>
      </w:tr>
      <w:tr w:rsidR="00161F40" w:rsidRPr="00A405BD" w14:paraId="7DFFD78C" w14:textId="77777777" w:rsidTr="001312BF">
        <w:tblPrEx>
          <w:tblBorders>
            <w:bottom w:val="none" w:sz="0" w:space="0" w:color="auto"/>
          </w:tblBorders>
        </w:tblPrEx>
        <w:tc>
          <w:tcPr>
            <w:tcW w:w="1730" w:type="pct"/>
          </w:tcPr>
          <w:p w14:paraId="115E6DFA" w14:textId="25C9301F" w:rsidR="00161F40" w:rsidRPr="00FA486E" w:rsidRDefault="00C406B5">
            <w:pPr>
              <w:pStyle w:val="Compact"/>
              <w:rPr>
                <w:lang w:val="en-GB"/>
              </w:rPr>
            </w:pPr>
            <w:r w:rsidRPr="00FA486E">
              <w:rPr>
                <w:lang w:val="en-GB"/>
              </w:rPr>
              <w:t xml:space="preserve">Age, years </w:t>
            </w:r>
          </w:p>
        </w:tc>
        <w:tc>
          <w:tcPr>
            <w:tcW w:w="578" w:type="pct"/>
          </w:tcPr>
          <w:p w14:paraId="6EADBBCD" w14:textId="77777777" w:rsidR="00161F40" w:rsidRPr="00FA486E" w:rsidRDefault="00161F40">
            <w:pPr>
              <w:pStyle w:val="Compact"/>
              <w:rPr>
                <w:lang w:val="en-GB"/>
              </w:rPr>
            </w:pPr>
          </w:p>
        </w:tc>
        <w:tc>
          <w:tcPr>
            <w:tcW w:w="1346" w:type="pct"/>
          </w:tcPr>
          <w:p w14:paraId="1A0A9937" w14:textId="11A55F94" w:rsidR="00161F40" w:rsidRPr="00FA486E" w:rsidRDefault="00C406B5">
            <w:pPr>
              <w:pStyle w:val="Compact"/>
              <w:rPr>
                <w:lang w:val="en-GB"/>
              </w:rPr>
            </w:pPr>
            <w:r w:rsidRPr="00FA486E">
              <w:rPr>
                <w:lang w:val="en-GB"/>
              </w:rPr>
              <w:t>41 [26, 58]</w:t>
            </w:r>
          </w:p>
        </w:tc>
        <w:tc>
          <w:tcPr>
            <w:tcW w:w="1346" w:type="pct"/>
          </w:tcPr>
          <w:p w14:paraId="23A4A2A2" w14:textId="1E21BD01" w:rsidR="00161F40" w:rsidRPr="00FA486E" w:rsidRDefault="00C406B5">
            <w:pPr>
              <w:pStyle w:val="Compact"/>
              <w:rPr>
                <w:lang w:val="en-GB"/>
              </w:rPr>
            </w:pPr>
            <w:r w:rsidRPr="00FA486E">
              <w:rPr>
                <w:lang w:val="en-GB"/>
              </w:rPr>
              <w:t>42 [25, 60]</w:t>
            </w:r>
          </w:p>
        </w:tc>
      </w:tr>
      <w:tr w:rsidR="00161F40" w:rsidRPr="00A405BD" w14:paraId="34B2C3F3" w14:textId="77777777" w:rsidTr="001312BF">
        <w:tblPrEx>
          <w:tblBorders>
            <w:bottom w:val="none" w:sz="0" w:space="0" w:color="auto"/>
          </w:tblBorders>
        </w:tblPrEx>
        <w:tc>
          <w:tcPr>
            <w:tcW w:w="1730" w:type="pct"/>
          </w:tcPr>
          <w:p w14:paraId="5AFD06A0" w14:textId="0F5CA0F7" w:rsidR="00161F40" w:rsidRPr="00FA486E" w:rsidRDefault="00C406B5">
            <w:pPr>
              <w:pStyle w:val="Compact"/>
              <w:rPr>
                <w:lang w:val="en-GB"/>
              </w:rPr>
            </w:pPr>
            <w:r w:rsidRPr="00FA486E">
              <w:rPr>
                <w:lang w:val="en-GB"/>
              </w:rPr>
              <w:t xml:space="preserve">Sex </w:t>
            </w:r>
          </w:p>
        </w:tc>
        <w:tc>
          <w:tcPr>
            <w:tcW w:w="578" w:type="pct"/>
          </w:tcPr>
          <w:p w14:paraId="37F41034" w14:textId="77777777" w:rsidR="00161F40" w:rsidRPr="00FA486E" w:rsidRDefault="00C406B5">
            <w:pPr>
              <w:pStyle w:val="Compact"/>
              <w:rPr>
                <w:lang w:val="en-GB"/>
              </w:rPr>
            </w:pPr>
            <w:r w:rsidRPr="00FA486E">
              <w:rPr>
                <w:lang w:val="en-GB"/>
              </w:rPr>
              <w:t>Male</w:t>
            </w:r>
          </w:p>
        </w:tc>
        <w:tc>
          <w:tcPr>
            <w:tcW w:w="1346" w:type="pct"/>
          </w:tcPr>
          <w:p w14:paraId="291E59D5" w14:textId="2E0B4ABB" w:rsidR="00161F40" w:rsidRPr="00FA486E" w:rsidRDefault="00C406B5">
            <w:pPr>
              <w:pStyle w:val="Compact"/>
              <w:rPr>
                <w:lang w:val="en-GB"/>
              </w:rPr>
            </w:pPr>
            <w:r w:rsidRPr="00FA486E">
              <w:rPr>
                <w:lang w:val="en-GB"/>
              </w:rPr>
              <w:t>8804 (67)</w:t>
            </w:r>
          </w:p>
        </w:tc>
        <w:tc>
          <w:tcPr>
            <w:tcW w:w="1346" w:type="pct"/>
          </w:tcPr>
          <w:p w14:paraId="0C690A09" w14:textId="3A74B36F" w:rsidR="00161F40" w:rsidRPr="00FA486E" w:rsidRDefault="00C406B5">
            <w:pPr>
              <w:pStyle w:val="Compact"/>
              <w:rPr>
                <w:lang w:val="en-GB"/>
              </w:rPr>
            </w:pPr>
            <w:r w:rsidRPr="00FA486E">
              <w:rPr>
                <w:lang w:val="en-GB"/>
              </w:rPr>
              <w:t>9010 (6</w:t>
            </w:r>
            <w:r w:rsidR="00FA3183">
              <w:rPr>
                <w:lang w:val="en-GB"/>
              </w:rPr>
              <w:t>5</w:t>
            </w:r>
            <w:r w:rsidRPr="00FA486E">
              <w:rPr>
                <w:lang w:val="en-GB"/>
              </w:rPr>
              <w:t>)</w:t>
            </w:r>
          </w:p>
        </w:tc>
      </w:tr>
      <w:tr w:rsidR="00161F40" w:rsidRPr="00A405BD" w14:paraId="2CF9F65A" w14:textId="77777777" w:rsidTr="001312BF">
        <w:tblPrEx>
          <w:tblBorders>
            <w:bottom w:val="none" w:sz="0" w:space="0" w:color="auto"/>
          </w:tblBorders>
        </w:tblPrEx>
        <w:tc>
          <w:tcPr>
            <w:tcW w:w="1730" w:type="pct"/>
          </w:tcPr>
          <w:p w14:paraId="49142276" w14:textId="77777777" w:rsidR="00161F40" w:rsidRPr="00FA486E" w:rsidRDefault="00161F40">
            <w:pPr>
              <w:pStyle w:val="Compact"/>
              <w:rPr>
                <w:lang w:val="en-GB"/>
              </w:rPr>
            </w:pPr>
          </w:p>
        </w:tc>
        <w:tc>
          <w:tcPr>
            <w:tcW w:w="578" w:type="pct"/>
          </w:tcPr>
          <w:p w14:paraId="247AD2E6" w14:textId="77777777" w:rsidR="00161F40" w:rsidRPr="00FA486E" w:rsidRDefault="00C406B5">
            <w:pPr>
              <w:pStyle w:val="Compact"/>
              <w:rPr>
                <w:lang w:val="en-GB"/>
              </w:rPr>
            </w:pPr>
            <w:r w:rsidRPr="00FA486E">
              <w:rPr>
                <w:lang w:val="en-GB"/>
              </w:rPr>
              <w:t>Female</w:t>
            </w:r>
          </w:p>
        </w:tc>
        <w:tc>
          <w:tcPr>
            <w:tcW w:w="1346" w:type="pct"/>
          </w:tcPr>
          <w:p w14:paraId="16F986B7" w14:textId="6DBFA489" w:rsidR="00161F40" w:rsidRPr="00FA486E" w:rsidRDefault="00C406B5">
            <w:pPr>
              <w:pStyle w:val="Compact"/>
              <w:rPr>
                <w:lang w:val="en-GB"/>
              </w:rPr>
            </w:pPr>
            <w:r w:rsidRPr="00FA486E">
              <w:rPr>
                <w:lang w:val="en-GB"/>
              </w:rPr>
              <w:t>4238 (3</w:t>
            </w:r>
            <w:r w:rsidR="00FA3183">
              <w:rPr>
                <w:lang w:val="en-GB"/>
              </w:rPr>
              <w:t>3</w:t>
            </w:r>
            <w:r w:rsidRPr="00FA486E">
              <w:rPr>
                <w:lang w:val="en-GB"/>
              </w:rPr>
              <w:t>)</w:t>
            </w:r>
          </w:p>
        </w:tc>
        <w:tc>
          <w:tcPr>
            <w:tcW w:w="1346" w:type="pct"/>
          </w:tcPr>
          <w:p w14:paraId="7DB1E70E" w14:textId="7A3CA4FD" w:rsidR="00161F40" w:rsidRPr="00FA486E" w:rsidRDefault="00C406B5">
            <w:pPr>
              <w:pStyle w:val="Compact"/>
              <w:rPr>
                <w:lang w:val="en-GB"/>
              </w:rPr>
            </w:pPr>
            <w:r w:rsidRPr="00FA486E">
              <w:rPr>
                <w:lang w:val="en-GB"/>
              </w:rPr>
              <w:t>491</w:t>
            </w:r>
            <w:r w:rsidR="00FA3183">
              <w:rPr>
                <w:lang w:val="en-GB"/>
              </w:rPr>
              <w:t>3</w:t>
            </w:r>
            <w:r w:rsidRPr="00FA486E">
              <w:rPr>
                <w:lang w:val="en-GB"/>
              </w:rPr>
              <w:t xml:space="preserve"> (35)</w:t>
            </w:r>
          </w:p>
        </w:tc>
      </w:tr>
      <w:tr w:rsidR="00161F40" w:rsidRPr="00A405BD" w14:paraId="3C988049" w14:textId="77777777" w:rsidTr="001312BF">
        <w:tblPrEx>
          <w:tblBorders>
            <w:bottom w:val="none" w:sz="0" w:space="0" w:color="auto"/>
          </w:tblBorders>
        </w:tblPrEx>
        <w:tc>
          <w:tcPr>
            <w:tcW w:w="1730" w:type="pct"/>
          </w:tcPr>
          <w:p w14:paraId="0C6CB4B0" w14:textId="0392756D" w:rsidR="00161F40" w:rsidRPr="00FA486E" w:rsidRDefault="00C406B5">
            <w:pPr>
              <w:pStyle w:val="Compact"/>
              <w:rPr>
                <w:lang w:val="en-GB"/>
              </w:rPr>
            </w:pPr>
            <w:r w:rsidRPr="00FA486E">
              <w:rPr>
                <w:lang w:val="en-GB"/>
              </w:rPr>
              <w:t xml:space="preserve">GCS </w:t>
            </w:r>
          </w:p>
        </w:tc>
        <w:tc>
          <w:tcPr>
            <w:tcW w:w="578" w:type="pct"/>
          </w:tcPr>
          <w:p w14:paraId="415C7D2F" w14:textId="77777777" w:rsidR="00161F40" w:rsidRPr="00FA486E" w:rsidRDefault="00161F40">
            <w:pPr>
              <w:pStyle w:val="Compact"/>
              <w:rPr>
                <w:lang w:val="en-GB"/>
              </w:rPr>
            </w:pPr>
          </w:p>
        </w:tc>
        <w:tc>
          <w:tcPr>
            <w:tcW w:w="1346" w:type="pct"/>
          </w:tcPr>
          <w:p w14:paraId="143B4539" w14:textId="18296C8A" w:rsidR="00161F40" w:rsidRPr="00FA486E" w:rsidRDefault="00C406B5">
            <w:pPr>
              <w:pStyle w:val="Compact"/>
              <w:rPr>
                <w:lang w:val="en-GB"/>
              </w:rPr>
            </w:pPr>
            <w:r w:rsidRPr="00FA486E">
              <w:rPr>
                <w:lang w:val="en-GB"/>
              </w:rPr>
              <w:t>15 [15, 15]</w:t>
            </w:r>
          </w:p>
        </w:tc>
        <w:tc>
          <w:tcPr>
            <w:tcW w:w="1346" w:type="pct"/>
          </w:tcPr>
          <w:p w14:paraId="40DB6AAF" w14:textId="1DEF83F6" w:rsidR="00161F40" w:rsidRPr="00FA486E" w:rsidRDefault="00C406B5">
            <w:pPr>
              <w:pStyle w:val="Compact"/>
              <w:rPr>
                <w:lang w:val="en-GB"/>
              </w:rPr>
            </w:pPr>
            <w:r w:rsidRPr="00FA486E">
              <w:rPr>
                <w:lang w:val="en-GB"/>
              </w:rPr>
              <w:t>15 [15, 15]</w:t>
            </w:r>
          </w:p>
        </w:tc>
      </w:tr>
      <w:tr w:rsidR="00161F40" w:rsidRPr="00A405BD" w14:paraId="3BBE6C86" w14:textId="77777777" w:rsidTr="001312BF">
        <w:tblPrEx>
          <w:tblBorders>
            <w:bottom w:val="none" w:sz="0" w:space="0" w:color="auto"/>
          </w:tblBorders>
        </w:tblPrEx>
        <w:tc>
          <w:tcPr>
            <w:tcW w:w="1730" w:type="pct"/>
          </w:tcPr>
          <w:p w14:paraId="417E39A6" w14:textId="08A62E11" w:rsidR="00161F40" w:rsidRPr="00FA486E" w:rsidRDefault="00C406B5">
            <w:pPr>
              <w:pStyle w:val="Compact"/>
              <w:rPr>
                <w:lang w:val="en-GB"/>
              </w:rPr>
            </w:pPr>
            <w:r w:rsidRPr="00FA486E">
              <w:rPr>
                <w:lang w:val="en-GB"/>
              </w:rPr>
              <w:t xml:space="preserve">SBP </w:t>
            </w:r>
          </w:p>
        </w:tc>
        <w:tc>
          <w:tcPr>
            <w:tcW w:w="578" w:type="pct"/>
          </w:tcPr>
          <w:p w14:paraId="227679EF" w14:textId="77777777" w:rsidR="00161F40" w:rsidRPr="00FA486E" w:rsidRDefault="00161F40">
            <w:pPr>
              <w:pStyle w:val="Compact"/>
              <w:rPr>
                <w:lang w:val="en-GB"/>
              </w:rPr>
            </w:pPr>
          </w:p>
        </w:tc>
        <w:tc>
          <w:tcPr>
            <w:tcW w:w="1346" w:type="pct"/>
          </w:tcPr>
          <w:p w14:paraId="36309D7E" w14:textId="5952C3A6" w:rsidR="00161F40" w:rsidRPr="00FA486E" w:rsidRDefault="00C406B5">
            <w:pPr>
              <w:pStyle w:val="Compact"/>
              <w:rPr>
                <w:lang w:val="en-GB"/>
              </w:rPr>
            </w:pPr>
            <w:r w:rsidRPr="00FA486E">
              <w:rPr>
                <w:lang w:val="en-GB"/>
              </w:rPr>
              <w:t>140 [125, 156]</w:t>
            </w:r>
          </w:p>
        </w:tc>
        <w:tc>
          <w:tcPr>
            <w:tcW w:w="1346" w:type="pct"/>
          </w:tcPr>
          <w:p w14:paraId="0216B22F" w14:textId="2DA5230D" w:rsidR="00161F40" w:rsidRPr="00FA486E" w:rsidRDefault="00C406B5">
            <w:pPr>
              <w:pStyle w:val="Compact"/>
              <w:rPr>
                <w:lang w:val="en-GB"/>
              </w:rPr>
            </w:pPr>
            <w:r w:rsidRPr="00FA486E">
              <w:rPr>
                <w:lang w:val="en-GB"/>
              </w:rPr>
              <w:t>135 [121, 150]</w:t>
            </w:r>
          </w:p>
        </w:tc>
      </w:tr>
      <w:tr w:rsidR="00161F40" w:rsidRPr="00A405BD" w14:paraId="4FF053D4" w14:textId="77777777" w:rsidTr="001312BF">
        <w:tblPrEx>
          <w:tblBorders>
            <w:bottom w:val="none" w:sz="0" w:space="0" w:color="auto"/>
          </w:tblBorders>
        </w:tblPrEx>
        <w:tc>
          <w:tcPr>
            <w:tcW w:w="1730" w:type="pct"/>
          </w:tcPr>
          <w:p w14:paraId="1356140C" w14:textId="333E7AF2" w:rsidR="00161F40" w:rsidRPr="00FA486E" w:rsidRDefault="00C406B5">
            <w:pPr>
              <w:pStyle w:val="Compact"/>
              <w:rPr>
                <w:lang w:val="en-GB"/>
              </w:rPr>
            </w:pPr>
            <w:r w:rsidRPr="00FA486E">
              <w:rPr>
                <w:lang w:val="en-GB"/>
              </w:rPr>
              <w:t xml:space="preserve">RR </w:t>
            </w:r>
          </w:p>
        </w:tc>
        <w:tc>
          <w:tcPr>
            <w:tcW w:w="578" w:type="pct"/>
          </w:tcPr>
          <w:p w14:paraId="684BBFC9" w14:textId="77777777" w:rsidR="00161F40" w:rsidRPr="00FA486E" w:rsidRDefault="00161F40">
            <w:pPr>
              <w:pStyle w:val="Compact"/>
              <w:rPr>
                <w:lang w:val="en-GB"/>
              </w:rPr>
            </w:pPr>
          </w:p>
        </w:tc>
        <w:tc>
          <w:tcPr>
            <w:tcW w:w="1346" w:type="pct"/>
          </w:tcPr>
          <w:p w14:paraId="3D098166" w14:textId="6196463E" w:rsidR="00161F40" w:rsidRPr="00FA486E" w:rsidRDefault="00C406B5">
            <w:pPr>
              <w:pStyle w:val="Compact"/>
              <w:rPr>
                <w:lang w:val="en-GB"/>
              </w:rPr>
            </w:pPr>
            <w:r w:rsidRPr="00FA486E">
              <w:rPr>
                <w:lang w:val="en-GB"/>
              </w:rPr>
              <w:t>18 [15, 20]</w:t>
            </w:r>
          </w:p>
        </w:tc>
        <w:tc>
          <w:tcPr>
            <w:tcW w:w="1346" w:type="pct"/>
          </w:tcPr>
          <w:p w14:paraId="30B5F7CD" w14:textId="4DE92FF3" w:rsidR="00161F40" w:rsidRPr="00FA486E" w:rsidRDefault="00C406B5">
            <w:pPr>
              <w:pStyle w:val="Compact"/>
              <w:rPr>
                <w:lang w:val="en-GB"/>
              </w:rPr>
            </w:pPr>
            <w:r w:rsidRPr="00FA486E">
              <w:rPr>
                <w:lang w:val="en-GB"/>
              </w:rPr>
              <w:t>18 [16, 21]</w:t>
            </w:r>
          </w:p>
        </w:tc>
      </w:tr>
      <w:tr w:rsidR="00161F40" w:rsidRPr="00A405BD" w14:paraId="4EBB04ED" w14:textId="77777777" w:rsidTr="001312BF">
        <w:tblPrEx>
          <w:tblBorders>
            <w:bottom w:val="none" w:sz="0" w:space="0" w:color="auto"/>
          </w:tblBorders>
        </w:tblPrEx>
        <w:tc>
          <w:tcPr>
            <w:tcW w:w="1730" w:type="pct"/>
          </w:tcPr>
          <w:p w14:paraId="51CCDC7B" w14:textId="05E168CE" w:rsidR="00161F40" w:rsidRPr="00FA486E" w:rsidRDefault="00C406B5">
            <w:pPr>
              <w:pStyle w:val="Compact"/>
              <w:rPr>
                <w:lang w:val="en-GB"/>
              </w:rPr>
            </w:pPr>
            <w:r w:rsidRPr="00FA486E">
              <w:rPr>
                <w:lang w:val="en-GB"/>
              </w:rPr>
              <w:t xml:space="preserve">30-day survival </w:t>
            </w:r>
          </w:p>
        </w:tc>
        <w:tc>
          <w:tcPr>
            <w:tcW w:w="578" w:type="pct"/>
          </w:tcPr>
          <w:p w14:paraId="3B334D2D" w14:textId="77777777" w:rsidR="00161F40" w:rsidRPr="00FA486E" w:rsidRDefault="00C406B5">
            <w:pPr>
              <w:pStyle w:val="Compact"/>
              <w:rPr>
                <w:lang w:val="en-GB"/>
              </w:rPr>
            </w:pPr>
            <w:r w:rsidRPr="00FA486E">
              <w:rPr>
                <w:lang w:val="en-GB"/>
              </w:rPr>
              <w:t>Alive</w:t>
            </w:r>
          </w:p>
        </w:tc>
        <w:tc>
          <w:tcPr>
            <w:tcW w:w="1346" w:type="pct"/>
          </w:tcPr>
          <w:p w14:paraId="3A247FCE" w14:textId="0F5EB7A1" w:rsidR="00161F40" w:rsidRPr="00FA486E" w:rsidRDefault="00C406B5">
            <w:pPr>
              <w:pStyle w:val="Compact"/>
              <w:rPr>
                <w:lang w:val="en-GB"/>
              </w:rPr>
            </w:pPr>
            <w:r w:rsidRPr="00FA486E">
              <w:rPr>
                <w:lang w:val="en-GB"/>
              </w:rPr>
              <w:t>12428 (95)</w:t>
            </w:r>
          </w:p>
        </w:tc>
        <w:tc>
          <w:tcPr>
            <w:tcW w:w="1346" w:type="pct"/>
          </w:tcPr>
          <w:p w14:paraId="2547CE1D" w14:textId="76600B45" w:rsidR="00161F40" w:rsidRPr="00FA486E" w:rsidRDefault="00C406B5">
            <w:pPr>
              <w:pStyle w:val="Compact"/>
              <w:rPr>
                <w:lang w:val="en-GB"/>
              </w:rPr>
            </w:pPr>
            <w:r w:rsidRPr="00FA486E">
              <w:rPr>
                <w:lang w:val="en-GB"/>
              </w:rPr>
              <w:t>13397 (96)</w:t>
            </w:r>
          </w:p>
        </w:tc>
      </w:tr>
      <w:tr w:rsidR="00161F40" w:rsidRPr="00A405BD" w14:paraId="17CF9A14" w14:textId="77777777" w:rsidTr="001312BF">
        <w:tblPrEx>
          <w:tblBorders>
            <w:bottom w:val="none" w:sz="0" w:space="0" w:color="auto"/>
          </w:tblBorders>
        </w:tblPrEx>
        <w:tc>
          <w:tcPr>
            <w:tcW w:w="1730" w:type="pct"/>
          </w:tcPr>
          <w:p w14:paraId="77B8E27E" w14:textId="77777777" w:rsidR="00161F40" w:rsidRPr="00FA486E" w:rsidRDefault="00161F40">
            <w:pPr>
              <w:pStyle w:val="Compact"/>
              <w:rPr>
                <w:lang w:val="en-GB"/>
              </w:rPr>
            </w:pPr>
          </w:p>
        </w:tc>
        <w:tc>
          <w:tcPr>
            <w:tcW w:w="578" w:type="pct"/>
          </w:tcPr>
          <w:p w14:paraId="0AD5F948" w14:textId="77777777" w:rsidR="00161F40" w:rsidRPr="00FA486E" w:rsidRDefault="00C406B5">
            <w:pPr>
              <w:pStyle w:val="Compact"/>
              <w:rPr>
                <w:lang w:val="en-GB"/>
              </w:rPr>
            </w:pPr>
            <w:r w:rsidRPr="00FA486E">
              <w:rPr>
                <w:lang w:val="en-GB"/>
              </w:rPr>
              <w:t>Dead</w:t>
            </w:r>
          </w:p>
        </w:tc>
        <w:tc>
          <w:tcPr>
            <w:tcW w:w="1346" w:type="pct"/>
          </w:tcPr>
          <w:p w14:paraId="4DC8FC39" w14:textId="77540EC6" w:rsidR="00161F40" w:rsidRPr="00FA486E" w:rsidRDefault="00C406B5">
            <w:pPr>
              <w:pStyle w:val="Compact"/>
              <w:rPr>
                <w:lang w:val="en-GB"/>
              </w:rPr>
            </w:pPr>
            <w:r w:rsidRPr="00FA486E">
              <w:rPr>
                <w:lang w:val="en-GB"/>
              </w:rPr>
              <w:t>61</w:t>
            </w:r>
            <w:r w:rsidR="00FA3183">
              <w:rPr>
                <w:lang w:val="en-GB"/>
              </w:rPr>
              <w:t>4</w:t>
            </w:r>
            <w:r w:rsidRPr="00FA486E">
              <w:rPr>
                <w:lang w:val="en-GB"/>
              </w:rPr>
              <w:t xml:space="preserve"> (</w:t>
            </w:r>
            <w:r w:rsidR="00FA3183">
              <w:rPr>
                <w:lang w:val="en-GB"/>
              </w:rPr>
              <w:t>5</w:t>
            </w:r>
            <w:r w:rsidRPr="00FA486E">
              <w:rPr>
                <w:lang w:val="en-GB"/>
              </w:rPr>
              <w:t>)</w:t>
            </w:r>
          </w:p>
        </w:tc>
        <w:tc>
          <w:tcPr>
            <w:tcW w:w="1346" w:type="pct"/>
          </w:tcPr>
          <w:p w14:paraId="3280F1F9" w14:textId="7FE28A82" w:rsidR="00161F40" w:rsidRPr="00FA486E" w:rsidRDefault="00C406B5">
            <w:pPr>
              <w:pStyle w:val="Compact"/>
              <w:rPr>
                <w:lang w:val="en-GB"/>
              </w:rPr>
            </w:pPr>
            <w:r w:rsidRPr="00FA486E">
              <w:rPr>
                <w:lang w:val="en-GB"/>
              </w:rPr>
              <w:t>52</w:t>
            </w:r>
            <w:r w:rsidR="00FA3183">
              <w:rPr>
                <w:lang w:val="en-GB"/>
              </w:rPr>
              <w:t>6</w:t>
            </w:r>
            <w:r w:rsidRPr="00FA486E">
              <w:rPr>
                <w:lang w:val="en-GB"/>
              </w:rPr>
              <w:t xml:space="preserve"> (</w:t>
            </w:r>
            <w:r w:rsidR="00FA3183">
              <w:rPr>
                <w:lang w:val="en-GB"/>
              </w:rPr>
              <w:t>4</w:t>
            </w:r>
            <w:r w:rsidRPr="00FA486E">
              <w:rPr>
                <w:lang w:val="en-GB"/>
              </w:rPr>
              <w:t>)</w:t>
            </w:r>
          </w:p>
        </w:tc>
      </w:tr>
      <w:tr w:rsidR="00161F40" w:rsidRPr="00A405BD" w14:paraId="092288DB" w14:textId="77777777" w:rsidTr="001312BF">
        <w:tblPrEx>
          <w:tblBorders>
            <w:bottom w:val="none" w:sz="0" w:space="0" w:color="auto"/>
          </w:tblBorders>
        </w:tblPrEx>
        <w:tc>
          <w:tcPr>
            <w:tcW w:w="1730" w:type="pct"/>
          </w:tcPr>
          <w:p w14:paraId="1256A2B9" w14:textId="30E88EBF" w:rsidR="00161F40" w:rsidRPr="00FA486E" w:rsidRDefault="00C406B5">
            <w:pPr>
              <w:pStyle w:val="Compact"/>
              <w:rPr>
                <w:lang w:val="en-GB"/>
              </w:rPr>
            </w:pPr>
            <w:r w:rsidRPr="00FA486E">
              <w:rPr>
                <w:lang w:val="en-GB"/>
              </w:rPr>
              <w:t xml:space="preserve">ISS </w:t>
            </w:r>
          </w:p>
        </w:tc>
        <w:tc>
          <w:tcPr>
            <w:tcW w:w="578" w:type="pct"/>
          </w:tcPr>
          <w:p w14:paraId="20AD4230" w14:textId="77777777" w:rsidR="00161F40" w:rsidRPr="00FA486E" w:rsidRDefault="00161F40">
            <w:pPr>
              <w:pStyle w:val="Compact"/>
              <w:rPr>
                <w:lang w:val="en-GB"/>
              </w:rPr>
            </w:pPr>
          </w:p>
        </w:tc>
        <w:tc>
          <w:tcPr>
            <w:tcW w:w="1346" w:type="pct"/>
          </w:tcPr>
          <w:p w14:paraId="31D10102" w14:textId="573940E5" w:rsidR="00161F40" w:rsidRPr="00FA486E" w:rsidRDefault="00C406B5">
            <w:pPr>
              <w:pStyle w:val="Compact"/>
              <w:rPr>
                <w:lang w:val="en-GB"/>
              </w:rPr>
            </w:pPr>
            <w:r w:rsidRPr="00FA486E">
              <w:rPr>
                <w:lang w:val="en-GB"/>
              </w:rPr>
              <w:t>4 [1, 10]</w:t>
            </w:r>
          </w:p>
        </w:tc>
        <w:tc>
          <w:tcPr>
            <w:tcW w:w="1346" w:type="pct"/>
          </w:tcPr>
          <w:p w14:paraId="3A206DD6" w14:textId="711CEC9E" w:rsidR="00161F40" w:rsidRPr="00FA486E" w:rsidRDefault="00C406B5">
            <w:pPr>
              <w:pStyle w:val="Compact"/>
              <w:rPr>
                <w:lang w:val="en-GB"/>
              </w:rPr>
            </w:pPr>
            <w:r w:rsidRPr="00FA486E">
              <w:rPr>
                <w:lang w:val="en-GB"/>
              </w:rPr>
              <w:t>3 [1, 9]</w:t>
            </w:r>
          </w:p>
        </w:tc>
      </w:tr>
      <w:tr w:rsidR="00161F40" w:rsidRPr="00A405BD" w14:paraId="3CB9049D" w14:textId="77777777" w:rsidTr="001312BF">
        <w:tblPrEx>
          <w:tblBorders>
            <w:bottom w:val="none" w:sz="0" w:space="0" w:color="auto"/>
          </w:tblBorders>
        </w:tblPrEx>
        <w:tc>
          <w:tcPr>
            <w:tcW w:w="1730" w:type="pct"/>
          </w:tcPr>
          <w:p w14:paraId="0CE8F26F" w14:textId="7DAE64CD" w:rsidR="00161F40" w:rsidRPr="00FA486E" w:rsidRDefault="00C406B5">
            <w:pPr>
              <w:pStyle w:val="Compact"/>
              <w:rPr>
                <w:lang w:val="en-GB"/>
              </w:rPr>
            </w:pPr>
            <w:r w:rsidRPr="00FA486E">
              <w:rPr>
                <w:lang w:val="en-GB"/>
              </w:rPr>
              <w:t xml:space="preserve">NISS </w:t>
            </w:r>
          </w:p>
        </w:tc>
        <w:tc>
          <w:tcPr>
            <w:tcW w:w="578" w:type="pct"/>
          </w:tcPr>
          <w:p w14:paraId="5FA93AA1" w14:textId="77777777" w:rsidR="00161F40" w:rsidRPr="00FA486E" w:rsidRDefault="00161F40">
            <w:pPr>
              <w:pStyle w:val="Compact"/>
              <w:rPr>
                <w:lang w:val="en-GB"/>
              </w:rPr>
            </w:pPr>
          </w:p>
        </w:tc>
        <w:tc>
          <w:tcPr>
            <w:tcW w:w="1346" w:type="pct"/>
          </w:tcPr>
          <w:p w14:paraId="7A3B1611" w14:textId="6A38D864" w:rsidR="00161F40" w:rsidRPr="00FA486E" w:rsidRDefault="00C406B5">
            <w:pPr>
              <w:pStyle w:val="Compact"/>
              <w:rPr>
                <w:lang w:val="en-GB"/>
              </w:rPr>
            </w:pPr>
            <w:r w:rsidRPr="00FA486E">
              <w:rPr>
                <w:lang w:val="en-GB"/>
              </w:rPr>
              <w:t>5 [1, 16]</w:t>
            </w:r>
          </w:p>
        </w:tc>
        <w:tc>
          <w:tcPr>
            <w:tcW w:w="1346" w:type="pct"/>
          </w:tcPr>
          <w:p w14:paraId="47CA7360" w14:textId="49F400F9" w:rsidR="00161F40" w:rsidRPr="00FA486E" w:rsidRDefault="00C406B5">
            <w:pPr>
              <w:pStyle w:val="Compact"/>
              <w:rPr>
                <w:lang w:val="en-GB"/>
              </w:rPr>
            </w:pPr>
            <w:r w:rsidRPr="00FA486E">
              <w:rPr>
                <w:lang w:val="en-GB"/>
              </w:rPr>
              <w:t>3 [1, 11]</w:t>
            </w:r>
          </w:p>
        </w:tc>
      </w:tr>
      <w:tr w:rsidR="00161F40" w:rsidRPr="00A405BD" w14:paraId="558BEC4D" w14:textId="77777777" w:rsidTr="001312BF">
        <w:tblPrEx>
          <w:tblBorders>
            <w:bottom w:val="none" w:sz="0" w:space="0" w:color="auto"/>
          </w:tblBorders>
        </w:tblPrEx>
        <w:tc>
          <w:tcPr>
            <w:tcW w:w="1730" w:type="pct"/>
          </w:tcPr>
          <w:p w14:paraId="20F2D39A" w14:textId="30D62175" w:rsidR="00161F40" w:rsidRPr="00FA486E" w:rsidRDefault="00C406B5">
            <w:pPr>
              <w:pStyle w:val="Compact"/>
              <w:rPr>
                <w:lang w:val="en-GB"/>
              </w:rPr>
            </w:pPr>
            <w:r w:rsidRPr="00FA486E">
              <w:rPr>
                <w:lang w:val="en-GB"/>
              </w:rPr>
              <w:t xml:space="preserve">ISS&gt;15 </w:t>
            </w:r>
          </w:p>
        </w:tc>
        <w:tc>
          <w:tcPr>
            <w:tcW w:w="578" w:type="pct"/>
          </w:tcPr>
          <w:p w14:paraId="1EAC893F" w14:textId="77777777" w:rsidR="00161F40" w:rsidRPr="00FA486E" w:rsidRDefault="00C406B5">
            <w:pPr>
              <w:pStyle w:val="Compact"/>
              <w:rPr>
                <w:lang w:val="en-GB"/>
              </w:rPr>
            </w:pPr>
            <w:r w:rsidRPr="00FA486E">
              <w:rPr>
                <w:lang w:val="en-GB"/>
              </w:rPr>
              <w:t>No</w:t>
            </w:r>
          </w:p>
        </w:tc>
        <w:tc>
          <w:tcPr>
            <w:tcW w:w="1346" w:type="pct"/>
          </w:tcPr>
          <w:p w14:paraId="5C1A089B" w14:textId="01750F74" w:rsidR="00161F40" w:rsidRPr="00FA486E" w:rsidRDefault="00C406B5">
            <w:pPr>
              <w:pStyle w:val="Compact"/>
              <w:rPr>
                <w:lang w:val="en-GB"/>
              </w:rPr>
            </w:pPr>
            <w:r w:rsidRPr="00FA486E">
              <w:rPr>
                <w:lang w:val="en-GB"/>
              </w:rPr>
              <w:t>1066</w:t>
            </w:r>
            <w:r w:rsidR="00FA3183">
              <w:rPr>
                <w:lang w:val="en-GB"/>
              </w:rPr>
              <w:t>7</w:t>
            </w:r>
            <w:r w:rsidRPr="00FA486E">
              <w:rPr>
                <w:lang w:val="en-GB"/>
              </w:rPr>
              <w:t xml:space="preserve"> (8</w:t>
            </w:r>
            <w:r w:rsidR="00FA3183">
              <w:rPr>
                <w:lang w:val="en-GB"/>
              </w:rPr>
              <w:t>2</w:t>
            </w:r>
            <w:r w:rsidRPr="00FA486E">
              <w:rPr>
                <w:lang w:val="en-GB"/>
              </w:rPr>
              <w:t>)</w:t>
            </w:r>
          </w:p>
        </w:tc>
        <w:tc>
          <w:tcPr>
            <w:tcW w:w="1346" w:type="pct"/>
          </w:tcPr>
          <w:p w14:paraId="6DC91087" w14:textId="2B8E2535" w:rsidR="00161F40" w:rsidRPr="00FA486E" w:rsidRDefault="00C406B5">
            <w:pPr>
              <w:pStyle w:val="Compact"/>
              <w:rPr>
                <w:lang w:val="en-GB"/>
              </w:rPr>
            </w:pPr>
            <w:r w:rsidRPr="00FA486E">
              <w:rPr>
                <w:lang w:val="en-GB"/>
              </w:rPr>
              <w:t>1220</w:t>
            </w:r>
            <w:r w:rsidR="00FA3183">
              <w:rPr>
                <w:lang w:val="en-GB"/>
              </w:rPr>
              <w:t>7</w:t>
            </w:r>
            <w:r w:rsidRPr="00FA486E">
              <w:rPr>
                <w:lang w:val="en-GB"/>
              </w:rPr>
              <w:t xml:space="preserve"> (8</w:t>
            </w:r>
            <w:r w:rsidR="00FA3183">
              <w:rPr>
                <w:lang w:val="en-GB"/>
              </w:rPr>
              <w:t>8</w:t>
            </w:r>
            <w:r w:rsidRPr="00FA486E">
              <w:rPr>
                <w:lang w:val="en-GB"/>
              </w:rPr>
              <w:t>)</w:t>
            </w:r>
          </w:p>
        </w:tc>
      </w:tr>
      <w:tr w:rsidR="00161F40" w:rsidRPr="00A405BD" w14:paraId="28EB347D" w14:textId="77777777" w:rsidTr="00FA486E">
        <w:tblPrEx>
          <w:tblBorders>
            <w:bottom w:val="none" w:sz="0" w:space="0" w:color="auto"/>
          </w:tblBorders>
        </w:tblPrEx>
        <w:tc>
          <w:tcPr>
            <w:tcW w:w="1730" w:type="pct"/>
          </w:tcPr>
          <w:p w14:paraId="73F5171E" w14:textId="77777777" w:rsidR="00161F40" w:rsidRPr="00FA486E" w:rsidRDefault="00161F40">
            <w:pPr>
              <w:pStyle w:val="Compact"/>
              <w:rPr>
                <w:lang w:val="en-GB"/>
              </w:rPr>
            </w:pPr>
          </w:p>
        </w:tc>
        <w:tc>
          <w:tcPr>
            <w:tcW w:w="578" w:type="pct"/>
          </w:tcPr>
          <w:p w14:paraId="1C84CF3D" w14:textId="77777777" w:rsidR="00161F40" w:rsidRPr="00FA486E" w:rsidRDefault="00C406B5">
            <w:pPr>
              <w:pStyle w:val="Compact"/>
              <w:rPr>
                <w:lang w:val="en-GB"/>
              </w:rPr>
            </w:pPr>
            <w:r w:rsidRPr="00FA486E">
              <w:rPr>
                <w:lang w:val="en-GB"/>
              </w:rPr>
              <w:t>Yes</w:t>
            </w:r>
          </w:p>
        </w:tc>
        <w:tc>
          <w:tcPr>
            <w:tcW w:w="1346" w:type="pct"/>
          </w:tcPr>
          <w:p w14:paraId="2E0F1C05" w14:textId="42BF7C96" w:rsidR="00161F40" w:rsidRPr="00FA486E" w:rsidRDefault="00C406B5">
            <w:pPr>
              <w:pStyle w:val="Compact"/>
              <w:rPr>
                <w:lang w:val="en-GB"/>
              </w:rPr>
            </w:pPr>
            <w:r w:rsidRPr="00FA486E">
              <w:rPr>
                <w:lang w:val="en-GB"/>
              </w:rPr>
              <w:t>2375 (18)</w:t>
            </w:r>
          </w:p>
        </w:tc>
        <w:tc>
          <w:tcPr>
            <w:tcW w:w="1346" w:type="pct"/>
          </w:tcPr>
          <w:p w14:paraId="14B2C2E3" w14:textId="01D6ACCF" w:rsidR="00161F40" w:rsidRPr="00FA486E" w:rsidRDefault="00C406B5">
            <w:pPr>
              <w:pStyle w:val="Compact"/>
              <w:rPr>
                <w:lang w:val="en-GB"/>
              </w:rPr>
            </w:pPr>
            <w:r w:rsidRPr="00FA486E">
              <w:rPr>
                <w:lang w:val="en-GB"/>
              </w:rPr>
              <w:t>1716 (12)</w:t>
            </w:r>
          </w:p>
        </w:tc>
      </w:tr>
      <w:tr w:rsidR="00CC26A6" w14:paraId="35C74F91" w14:textId="77777777" w:rsidTr="00FA486E">
        <w:tblPrEx>
          <w:tblBorders>
            <w:bottom w:val="none" w:sz="0" w:space="0" w:color="auto"/>
          </w:tblBorders>
        </w:tblPrEx>
        <w:tc>
          <w:tcPr>
            <w:tcW w:w="1730" w:type="pct"/>
            <w:tcBorders>
              <w:bottom w:val="single" w:sz="4" w:space="0" w:color="auto"/>
            </w:tcBorders>
            <w:vAlign w:val="bottom"/>
          </w:tcPr>
          <w:p w14:paraId="624977D3" w14:textId="77777777" w:rsidR="00161F40" w:rsidRPr="00FA486E" w:rsidRDefault="00C406B5">
            <w:pPr>
              <w:pStyle w:val="Compact"/>
              <w:rPr>
                <w:b/>
                <w:lang w:val="en-GB"/>
              </w:rPr>
            </w:pPr>
            <w:r w:rsidRPr="00FA486E">
              <w:rPr>
                <w:b/>
                <w:lang w:val="en-GB"/>
              </w:rPr>
              <w:t>Characteristic</w:t>
            </w:r>
          </w:p>
        </w:tc>
        <w:tc>
          <w:tcPr>
            <w:tcW w:w="578" w:type="pct"/>
            <w:tcBorders>
              <w:bottom w:val="single" w:sz="4" w:space="0" w:color="auto"/>
            </w:tcBorders>
            <w:vAlign w:val="bottom"/>
          </w:tcPr>
          <w:p w14:paraId="3786C061" w14:textId="77777777" w:rsidR="00161F40" w:rsidRPr="00FA486E" w:rsidRDefault="00C406B5">
            <w:pPr>
              <w:pStyle w:val="Compact"/>
              <w:rPr>
                <w:b/>
                <w:lang w:val="en-GB"/>
              </w:rPr>
            </w:pPr>
            <w:r w:rsidRPr="00FA486E">
              <w:rPr>
                <w:b/>
                <w:lang w:val="en-GB"/>
              </w:rPr>
              <w:t>Level</w:t>
            </w:r>
          </w:p>
        </w:tc>
        <w:tc>
          <w:tcPr>
            <w:tcW w:w="1346" w:type="pct"/>
            <w:tcBorders>
              <w:bottom w:val="single" w:sz="4" w:space="0" w:color="auto"/>
            </w:tcBorders>
            <w:vAlign w:val="bottom"/>
          </w:tcPr>
          <w:p w14:paraId="478F2433" w14:textId="3BA7CE17" w:rsidR="00161F40" w:rsidRPr="00FA486E" w:rsidRDefault="00C406B5">
            <w:pPr>
              <w:pStyle w:val="Compact"/>
              <w:rPr>
                <w:b/>
                <w:lang w:val="en-GB"/>
              </w:rPr>
            </w:pPr>
            <w:r w:rsidRPr="00FA486E">
              <w:rPr>
                <w:b/>
                <w:lang w:val="en-GB"/>
              </w:rPr>
              <w:t>Multicentre</w:t>
            </w:r>
          </w:p>
        </w:tc>
        <w:tc>
          <w:tcPr>
            <w:tcW w:w="1346" w:type="pct"/>
            <w:tcBorders>
              <w:bottom w:val="single" w:sz="4" w:space="0" w:color="auto"/>
            </w:tcBorders>
            <w:vAlign w:val="bottom"/>
          </w:tcPr>
          <w:p w14:paraId="596CA5FF" w14:textId="77777777" w:rsidR="00161F40" w:rsidRPr="00FA486E" w:rsidRDefault="00C406B5">
            <w:pPr>
              <w:pStyle w:val="Compact"/>
              <w:rPr>
                <w:b/>
                <w:lang w:val="en-GB"/>
              </w:rPr>
            </w:pPr>
            <w:r w:rsidRPr="00FA486E">
              <w:rPr>
                <w:b/>
                <w:lang w:val="en-GB"/>
              </w:rPr>
              <w:t>Single centre</w:t>
            </w:r>
          </w:p>
        </w:tc>
      </w:tr>
      <w:tr w:rsidR="00161F40" w:rsidRPr="00A405BD" w14:paraId="086C5BE6" w14:textId="77777777" w:rsidTr="00FA486E">
        <w:tblPrEx>
          <w:tblBorders>
            <w:bottom w:val="none" w:sz="0" w:space="0" w:color="auto"/>
          </w:tblBorders>
        </w:tblPrEx>
        <w:tc>
          <w:tcPr>
            <w:tcW w:w="1730" w:type="pct"/>
            <w:tcBorders>
              <w:top w:val="single" w:sz="4" w:space="0" w:color="auto"/>
            </w:tcBorders>
          </w:tcPr>
          <w:p w14:paraId="1A553E09" w14:textId="2F9A136F" w:rsidR="00161F40" w:rsidRPr="00FA486E" w:rsidRDefault="00C406B5">
            <w:pPr>
              <w:pStyle w:val="Compact"/>
              <w:rPr>
                <w:lang w:val="en-GB"/>
              </w:rPr>
            </w:pPr>
            <w:r w:rsidRPr="00FA486E">
              <w:rPr>
                <w:lang w:val="en-GB"/>
              </w:rPr>
              <w:t xml:space="preserve">n </w:t>
            </w:r>
          </w:p>
        </w:tc>
        <w:tc>
          <w:tcPr>
            <w:tcW w:w="578" w:type="pct"/>
            <w:tcBorders>
              <w:top w:val="single" w:sz="4" w:space="0" w:color="auto"/>
            </w:tcBorders>
          </w:tcPr>
          <w:p w14:paraId="53399C8F" w14:textId="77777777" w:rsidR="00161F40" w:rsidRPr="00FA486E" w:rsidRDefault="00161F40">
            <w:pPr>
              <w:pStyle w:val="Compact"/>
              <w:rPr>
                <w:lang w:val="en-GB"/>
              </w:rPr>
            </w:pPr>
          </w:p>
        </w:tc>
        <w:tc>
          <w:tcPr>
            <w:tcW w:w="1346" w:type="pct"/>
            <w:tcBorders>
              <w:top w:val="single" w:sz="4" w:space="0" w:color="auto"/>
            </w:tcBorders>
          </w:tcPr>
          <w:p w14:paraId="64380A1D" w14:textId="44E86350" w:rsidR="00161F40" w:rsidRPr="00FA486E" w:rsidRDefault="00C406B5">
            <w:pPr>
              <w:pStyle w:val="Compact"/>
              <w:rPr>
                <w:lang w:val="en-GB"/>
              </w:rPr>
            </w:pPr>
            <w:r w:rsidRPr="00FA486E">
              <w:rPr>
                <w:lang w:val="en-GB"/>
              </w:rPr>
              <w:t>26965 (8</w:t>
            </w:r>
            <w:r w:rsidR="00FA3183">
              <w:rPr>
                <w:lang w:val="en-GB"/>
              </w:rPr>
              <w:t>2</w:t>
            </w:r>
            <w:r w:rsidRPr="00FA486E">
              <w:rPr>
                <w:lang w:val="en-GB"/>
              </w:rPr>
              <w:t>)</w:t>
            </w:r>
          </w:p>
        </w:tc>
        <w:tc>
          <w:tcPr>
            <w:tcW w:w="1346" w:type="pct"/>
            <w:tcBorders>
              <w:top w:val="single" w:sz="4" w:space="0" w:color="auto"/>
            </w:tcBorders>
          </w:tcPr>
          <w:p w14:paraId="54E8F784" w14:textId="2236D3AC" w:rsidR="00161F40" w:rsidRPr="00FA486E" w:rsidRDefault="00C406B5">
            <w:pPr>
              <w:pStyle w:val="Compact"/>
              <w:rPr>
                <w:lang w:val="en-GB"/>
              </w:rPr>
            </w:pPr>
            <w:r w:rsidRPr="00FA486E">
              <w:rPr>
                <w:lang w:val="en-GB"/>
              </w:rPr>
              <w:t>5956 (18)</w:t>
            </w:r>
          </w:p>
        </w:tc>
      </w:tr>
      <w:tr w:rsidR="00161F40" w:rsidRPr="00A405BD" w14:paraId="7601CE0F" w14:textId="77777777" w:rsidTr="001312BF">
        <w:tblPrEx>
          <w:tblBorders>
            <w:bottom w:val="none" w:sz="0" w:space="0" w:color="auto"/>
          </w:tblBorders>
        </w:tblPrEx>
        <w:tc>
          <w:tcPr>
            <w:tcW w:w="1730" w:type="pct"/>
          </w:tcPr>
          <w:p w14:paraId="400E2AF8" w14:textId="2C633EA2" w:rsidR="00161F40" w:rsidRPr="00FA486E" w:rsidRDefault="00C406B5">
            <w:pPr>
              <w:pStyle w:val="Compact"/>
              <w:rPr>
                <w:lang w:val="en-GB"/>
              </w:rPr>
            </w:pPr>
            <w:r w:rsidRPr="00FA486E">
              <w:rPr>
                <w:lang w:val="en-GB"/>
              </w:rPr>
              <w:t xml:space="preserve">Age, years </w:t>
            </w:r>
          </w:p>
        </w:tc>
        <w:tc>
          <w:tcPr>
            <w:tcW w:w="578" w:type="pct"/>
          </w:tcPr>
          <w:p w14:paraId="7A935092" w14:textId="77777777" w:rsidR="00161F40" w:rsidRPr="00FA486E" w:rsidRDefault="00161F40">
            <w:pPr>
              <w:pStyle w:val="Compact"/>
              <w:rPr>
                <w:lang w:val="en-GB"/>
              </w:rPr>
            </w:pPr>
          </w:p>
        </w:tc>
        <w:tc>
          <w:tcPr>
            <w:tcW w:w="1346" w:type="pct"/>
          </w:tcPr>
          <w:p w14:paraId="0086E123" w14:textId="72AB20C6" w:rsidR="00161F40" w:rsidRPr="00FA486E" w:rsidRDefault="00C406B5">
            <w:pPr>
              <w:pStyle w:val="Compact"/>
              <w:rPr>
                <w:lang w:val="en-GB"/>
              </w:rPr>
            </w:pPr>
            <w:r w:rsidRPr="00FA486E">
              <w:rPr>
                <w:lang w:val="en-GB"/>
              </w:rPr>
              <w:t>41 [25, 59]</w:t>
            </w:r>
          </w:p>
        </w:tc>
        <w:tc>
          <w:tcPr>
            <w:tcW w:w="1346" w:type="pct"/>
          </w:tcPr>
          <w:p w14:paraId="5177A500" w14:textId="1B7CADA4" w:rsidR="00161F40" w:rsidRPr="00FA486E" w:rsidRDefault="00C406B5">
            <w:pPr>
              <w:pStyle w:val="Compact"/>
              <w:rPr>
                <w:lang w:val="en-GB"/>
              </w:rPr>
            </w:pPr>
            <w:r w:rsidRPr="00FA486E">
              <w:rPr>
                <w:lang w:val="en-GB"/>
              </w:rPr>
              <w:t>42 [27, 59]</w:t>
            </w:r>
          </w:p>
        </w:tc>
      </w:tr>
      <w:tr w:rsidR="00161F40" w:rsidRPr="00A405BD" w14:paraId="090336E4" w14:textId="77777777" w:rsidTr="001312BF">
        <w:tblPrEx>
          <w:tblBorders>
            <w:bottom w:val="none" w:sz="0" w:space="0" w:color="auto"/>
          </w:tblBorders>
        </w:tblPrEx>
        <w:tc>
          <w:tcPr>
            <w:tcW w:w="1730" w:type="pct"/>
          </w:tcPr>
          <w:p w14:paraId="3E4B11AE" w14:textId="191E2082" w:rsidR="00161F40" w:rsidRPr="00FA486E" w:rsidRDefault="00C406B5">
            <w:pPr>
              <w:pStyle w:val="Compact"/>
              <w:rPr>
                <w:lang w:val="en-GB"/>
              </w:rPr>
            </w:pPr>
            <w:r w:rsidRPr="00FA486E">
              <w:rPr>
                <w:lang w:val="en-GB"/>
              </w:rPr>
              <w:t xml:space="preserve">Sex </w:t>
            </w:r>
          </w:p>
        </w:tc>
        <w:tc>
          <w:tcPr>
            <w:tcW w:w="578" w:type="pct"/>
          </w:tcPr>
          <w:p w14:paraId="60F22058" w14:textId="77777777" w:rsidR="00161F40" w:rsidRPr="00FA486E" w:rsidRDefault="00C406B5">
            <w:pPr>
              <w:pStyle w:val="Compact"/>
              <w:rPr>
                <w:lang w:val="en-GB"/>
              </w:rPr>
            </w:pPr>
            <w:r w:rsidRPr="00FA486E">
              <w:rPr>
                <w:lang w:val="en-GB"/>
              </w:rPr>
              <w:t>Male</w:t>
            </w:r>
          </w:p>
        </w:tc>
        <w:tc>
          <w:tcPr>
            <w:tcW w:w="1346" w:type="pct"/>
          </w:tcPr>
          <w:p w14:paraId="43CFAB88" w14:textId="123E8937" w:rsidR="00161F40" w:rsidRPr="00FA486E" w:rsidRDefault="00C406B5">
            <w:pPr>
              <w:pStyle w:val="Compact"/>
              <w:rPr>
                <w:lang w:val="en-GB"/>
              </w:rPr>
            </w:pPr>
            <w:r w:rsidRPr="00FA486E">
              <w:rPr>
                <w:lang w:val="en-GB"/>
              </w:rPr>
              <w:t>17813 (66)</w:t>
            </w:r>
          </w:p>
        </w:tc>
        <w:tc>
          <w:tcPr>
            <w:tcW w:w="1346" w:type="pct"/>
          </w:tcPr>
          <w:p w14:paraId="10F458E6" w14:textId="41572857" w:rsidR="00161F40" w:rsidRPr="00FA486E" w:rsidRDefault="00C406B5">
            <w:pPr>
              <w:pStyle w:val="Compact"/>
              <w:rPr>
                <w:lang w:val="en-GB"/>
              </w:rPr>
            </w:pPr>
            <w:r w:rsidRPr="00FA486E">
              <w:rPr>
                <w:lang w:val="en-GB"/>
              </w:rPr>
              <w:t>4153 (</w:t>
            </w:r>
            <w:r w:rsidR="00FA3183">
              <w:rPr>
                <w:lang w:val="en-GB"/>
              </w:rPr>
              <w:t>70</w:t>
            </w:r>
            <w:r w:rsidRPr="00FA486E">
              <w:rPr>
                <w:lang w:val="en-GB"/>
              </w:rPr>
              <w:t>)</w:t>
            </w:r>
          </w:p>
        </w:tc>
      </w:tr>
      <w:tr w:rsidR="00161F40" w:rsidRPr="00A405BD" w14:paraId="4C48859E" w14:textId="77777777" w:rsidTr="001312BF">
        <w:tblPrEx>
          <w:tblBorders>
            <w:bottom w:val="none" w:sz="0" w:space="0" w:color="auto"/>
          </w:tblBorders>
        </w:tblPrEx>
        <w:tc>
          <w:tcPr>
            <w:tcW w:w="1730" w:type="pct"/>
          </w:tcPr>
          <w:p w14:paraId="5B5D794E" w14:textId="77777777" w:rsidR="00161F40" w:rsidRPr="00FA486E" w:rsidRDefault="00161F40">
            <w:pPr>
              <w:pStyle w:val="Compact"/>
              <w:rPr>
                <w:lang w:val="en-GB"/>
              </w:rPr>
            </w:pPr>
          </w:p>
        </w:tc>
        <w:tc>
          <w:tcPr>
            <w:tcW w:w="578" w:type="pct"/>
          </w:tcPr>
          <w:p w14:paraId="2C03932F" w14:textId="77777777" w:rsidR="00161F40" w:rsidRPr="00FA486E" w:rsidRDefault="00C406B5">
            <w:pPr>
              <w:pStyle w:val="Compact"/>
              <w:rPr>
                <w:lang w:val="en-GB"/>
              </w:rPr>
            </w:pPr>
            <w:r w:rsidRPr="00FA486E">
              <w:rPr>
                <w:lang w:val="en-GB"/>
              </w:rPr>
              <w:t>Female</w:t>
            </w:r>
          </w:p>
        </w:tc>
        <w:tc>
          <w:tcPr>
            <w:tcW w:w="1346" w:type="pct"/>
          </w:tcPr>
          <w:p w14:paraId="2032307E" w14:textId="4B920A8A" w:rsidR="00161F40" w:rsidRPr="00FA486E" w:rsidRDefault="00C406B5">
            <w:pPr>
              <w:pStyle w:val="Compact"/>
              <w:rPr>
                <w:lang w:val="en-GB"/>
              </w:rPr>
            </w:pPr>
            <w:r w:rsidRPr="00FA486E">
              <w:rPr>
                <w:lang w:val="en-GB"/>
              </w:rPr>
              <w:t>915</w:t>
            </w:r>
            <w:r w:rsidR="00FA3183">
              <w:rPr>
                <w:lang w:val="en-GB"/>
              </w:rPr>
              <w:t>2</w:t>
            </w:r>
            <w:r w:rsidRPr="00FA486E">
              <w:rPr>
                <w:lang w:val="en-GB"/>
              </w:rPr>
              <w:t xml:space="preserve"> (3</w:t>
            </w:r>
            <w:r w:rsidR="00FA3183">
              <w:rPr>
                <w:lang w:val="en-GB"/>
              </w:rPr>
              <w:t>4</w:t>
            </w:r>
            <w:r w:rsidRPr="00FA486E">
              <w:rPr>
                <w:lang w:val="en-GB"/>
              </w:rPr>
              <w:t>)</w:t>
            </w:r>
          </w:p>
        </w:tc>
        <w:tc>
          <w:tcPr>
            <w:tcW w:w="1346" w:type="pct"/>
          </w:tcPr>
          <w:p w14:paraId="407B1103" w14:textId="0E142005" w:rsidR="00161F40" w:rsidRPr="00FA486E" w:rsidRDefault="00C406B5">
            <w:pPr>
              <w:pStyle w:val="Compact"/>
              <w:rPr>
                <w:lang w:val="en-GB"/>
              </w:rPr>
            </w:pPr>
            <w:r w:rsidRPr="00FA486E">
              <w:rPr>
                <w:lang w:val="en-GB"/>
              </w:rPr>
              <w:t>180</w:t>
            </w:r>
            <w:r w:rsidR="00FA3183">
              <w:rPr>
                <w:lang w:val="en-GB"/>
              </w:rPr>
              <w:t>3</w:t>
            </w:r>
            <w:r w:rsidRPr="00FA486E">
              <w:rPr>
                <w:lang w:val="en-GB"/>
              </w:rPr>
              <w:t xml:space="preserve"> (30)</w:t>
            </w:r>
          </w:p>
        </w:tc>
      </w:tr>
      <w:tr w:rsidR="00161F40" w:rsidRPr="00A405BD" w14:paraId="221463BF" w14:textId="77777777" w:rsidTr="001312BF">
        <w:tblPrEx>
          <w:tblBorders>
            <w:bottom w:val="none" w:sz="0" w:space="0" w:color="auto"/>
          </w:tblBorders>
        </w:tblPrEx>
        <w:tc>
          <w:tcPr>
            <w:tcW w:w="1730" w:type="pct"/>
          </w:tcPr>
          <w:p w14:paraId="153ADCF6" w14:textId="351D165D" w:rsidR="00161F40" w:rsidRPr="00FA486E" w:rsidRDefault="00C406B5">
            <w:pPr>
              <w:pStyle w:val="Compact"/>
              <w:rPr>
                <w:lang w:val="en-GB"/>
              </w:rPr>
            </w:pPr>
            <w:r w:rsidRPr="00FA486E">
              <w:rPr>
                <w:lang w:val="en-GB"/>
              </w:rPr>
              <w:t xml:space="preserve">GCS </w:t>
            </w:r>
          </w:p>
        </w:tc>
        <w:tc>
          <w:tcPr>
            <w:tcW w:w="578" w:type="pct"/>
          </w:tcPr>
          <w:p w14:paraId="0E3B85B0" w14:textId="77777777" w:rsidR="00161F40" w:rsidRPr="00FA486E" w:rsidRDefault="00161F40">
            <w:pPr>
              <w:pStyle w:val="Compact"/>
              <w:rPr>
                <w:lang w:val="en-GB"/>
              </w:rPr>
            </w:pPr>
          </w:p>
        </w:tc>
        <w:tc>
          <w:tcPr>
            <w:tcW w:w="1346" w:type="pct"/>
          </w:tcPr>
          <w:p w14:paraId="1C846CE2" w14:textId="08DB0C62" w:rsidR="00161F40" w:rsidRPr="00FA486E" w:rsidRDefault="00C406B5">
            <w:pPr>
              <w:pStyle w:val="Compact"/>
              <w:rPr>
                <w:lang w:val="en-GB"/>
              </w:rPr>
            </w:pPr>
            <w:r w:rsidRPr="00FA486E">
              <w:rPr>
                <w:lang w:val="en-GB"/>
              </w:rPr>
              <w:t>15 [15, 15]</w:t>
            </w:r>
          </w:p>
        </w:tc>
        <w:tc>
          <w:tcPr>
            <w:tcW w:w="1346" w:type="pct"/>
          </w:tcPr>
          <w:p w14:paraId="1F51D991" w14:textId="7BA0A0E6" w:rsidR="00161F40" w:rsidRPr="00FA486E" w:rsidRDefault="00C406B5">
            <w:pPr>
              <w:pStyle w:val="Compact"/>
              <w:rPr>
                <w:lang w:val="en-GB"/>
              </w:rPr>
            </w:pPr>
            <w:r w:rsidRPr="00FA486E">
              <w:rPr>
                <w:lang w:val="en-GB"/>
              </w:rPr>
              <w:t>15 [14, 15]</w:t>
            </w:r>
          </w:p>
        </w:tc>
      </w:tr>
      <w:tr w:rsidR="00161F40" w:rsidRPr="00A405BD" w14:paraId="6026ECB5" w14:textId="77777777" w:rsidTr="001312BF">
        <w:tblPrEx>
          <w:tblBorders>
            <w:bottom w:val="none" w:sz="0" w:space="0" w:color="auto"/>
          </w:tblBorders>
        </w:tblPrEx>
        <w:tc>
          <w:tcPr>
            <w:tcW w:w="1730" w:type="pct"/>
          </w:tcPr>
          <w:p w14:paraId="03436896" w14:textId="5C499967" w:rsidR="00161F40" w:rsidRPr="00FA486E" w:rsidRDefault="00C406B5">
            <w:pPr>
              <w:pStyle w:val="Compact"/>
              <w:rPr>
                <w:lang w:val="en-GB"/>
              </w:rPr>
            </w:pPr>
            <w:r w:rsidRPr="00FA486E">
              <w:rPr>
                <w:lang w:val="en-GB"/>
              </w:rPr>
              <w:t xml:space="preserve">SBP </w:t>
            </w:r>
          </w:p>
        </w:tc>
        <w:tc>
          <w:tcPr>
            <w:tcW w:w="578" w:type="pct"/>
          </w:tcPr>
          <w:p w14:paraId="4C0FFFEF" w14:textId="77777777" w:rsidR="00161F40" w:rsidRPr="00FA486E" w:rsidRDefault="00161F40">
            <w:pPr>
              <w:pStyle w:val="Compact"/>
              <w:rPr>
                <w:lang w:val="en-GB"/>
              </w:rPr>
            </w:pPr>
          </w:p>
        </w:tc>
        <w:tc>
          <w:tcPr>
            <w:tcW w:w="1346" w:type="pct"/>
          </w:tcPr>
          <w:p w14:paraId="1CDA4B92" w14:textId="05E810BF" w:rsidR="00161F40" w:rsidRPr="00FA486E" w:rsidRDefault="00C406B5">
            <w:pPr>
              <w:pStyle w:val="Compact"/>
              <w:rPr>
                <w:lang w:val="en-GB"/>
              </w:rPr>
            </w:pPr>
            <w:r w:rsidRPr="00FA486E">
              <w:rPr>
                <w:lang w:val="en-GB"/>
              </w:rPr>
              <w:t>138 [124, 153]</w:t>
            </w:r>
          </w:p>
        </w:tc>
        <w:tc>
          <w:tcPr>
            <w:tcW w:w="1346" w:type="pct"/>
          </w:tcPr>
          <w:p w14:paraId="7D91DF0D" w14:textId="4649407F" w:rsidR="00161F40" w:rsidRPr="00FA486E" w:rsidRDefault="00C406B5">
            <w:pPr>
              <w:pStyle w:val="Compact"/>
              <w:rPr>
                <w:lang w:val="en-GB"/>
              </w:rPr>
            </w:pPr>
            <w:r w:rsidRPr="00FA486E">
              <w:rPr>
                <w:lang w:val="en-GB"/>
              </w:rPr>
              <w:t>140 [124, 157]</w:t>
            </w:r>
          </w:p>
        </w:tc>
      </w:tr>
      <w:tr w:rsidR="00161F40" w:rsidRPr="00A405BD" w14:paraId="08FB87ED" w14:textId="77777777" w:rsidTr="001312BF">
        <w:tblPrEx>
          <w:tblBorders>
            <w:bottom w:val="none" w:sz="0" w:space="0" w:color="auto"/>
          </w:tblBorders>
        </w:tblPrEx>
        <w:tc>
          <w:tcPr>
            <w:tcW w:w="1730" w:type="pct"/>
          </w:tcPr>
          <w:p w14:paraId="5053C6AD" w14:textId="033C1ACA" w:rsidR="00161F40" w:rsidRPr="00FA486E" w:rsidRDefault="00C406B5">
            <w:pPr>
              <w:pStyle w:val="Compact"/>
              <w:rPr>
                <w:lang w:val="en-GB"/>
              </w:rPr>
            </w:pPr>
            <w:r w:rsidRPr="00FA486E">
              <w:rPr>
                <w:lang w:val="en-GB"/>
              </w:rPr>
              <w:t xml:space="preserve">RR </w:t>
            </w:r>
          </w:p>
        </w:tc>
        <w:tc>
          <w:tcPr>
            <w:tcW w:w="578" w:type="pct"/>
          </w:tcPr>
          <w:p w14:paraId="38F9BC68" w14:textId="77777777" w:rsidR="00161F40" w:rsidRPr="00FA486E" w:rsidRDefault="00161F40">
            <w:pPr>
              <w:pStyle w:val="Compact"/>
              <w:rPr>
                <w:lang w:val="en-GB"/>
              </w:rPr>
            </w:pPr>
          </w:p>
        </w:tc>
        <w:tc>
          <w:tcPr>
            <w:tcW w:w="1346" w:type="pct"/>
          </w:tcPr>
          <w:p w14:paraId="5FBDA84A" w14:textId="1224A408" w:rsidR="00161F40" w:rsidRPr="00FA486E" w:rsidRDefault="00C406B5">
            <w:pPr>
              <w:pStyle w:val="Compact"/>
              <w:rPr>
                <w:lang w:val="en-GB"/>
              </w:rPr>
            </w:pPr>
            <w:r w:rsidRPr="00FA486E">
              <w:rPr>
                <w:lang w:val="en-GB"/>
              </w:rPr>
              <w:t>18 [16, 21]</w:t>
            </w:r>
          </w:p>
        </w:tc>
        <w:tc>
          <w:tcPr>
            <w:tcW w:w="1346" w:type="pct"/>
          </w:tcPr>
          <w:p w14:paraId="09EDF5CE" w14:textId="509DC71E" w:rsidR="00161F40" w:rsidRPr="00FA486E" w:rsidRDefault="00C406B5">
            <w:pPr>
              <w:pStyle w:val="Compact"/>
              <w:rPr>
                <w:lang w:val="en-GB"/>
              </w:rPr>
            </w:pPr>
            <w:r w:rsidRPr="00FA486E">
              <w:rPr>
                <w:lang w:val="en-GB"/>
              </w:rPr>
              <w:t>18 [15, 20]</w:t>
            </w:r>
          </w:p>
        </w:tc>
      </w:tr>
      <w:tr w:rsidR="00161F40" w:rsidRPr="00A405BD" w14:paraId="621A5C49" w14:textId="77777777" w:rsidTr="001312BF">
        <w:tblPrEx>
          <w:tblBorders>
            <w:bottom w:val="none" w:sz="0" w:space="0" w:color="auto"/>
          </w:tblBorders>
        </w:tblPrEx>
        <w:tc>
          <w:tcPr>
            <w:tcW w:w="1730" w:type="pct"/>
          </w:tcPr>
          <w:p w14:paraId="349A4965" w14:textId="4FECA83C" w:rsidR="00161F40" w:rsidRPr="00FA486E" w:rsidRDefault="00C406B5">
            <w:pPr>
              <w:pStyle w:val="Compact"/>
              <w:rPr>
                <w:lang w:val="en-GB"/>
              </w:rPr>
            </w:pPr>
            <w:r w:rsidRPr="00FA486E">
              <w:rPr>
                <w:lang w:val="en-GB"/>
              </w:rPr>
              <w:t xml:space="preserve">30-day survival </w:t>
            </w:r>
          </w:p>
        </w:tc>
        <w:tc>
          <w:tcPr>
            <w:tcW w:w="578" w:type="pct"/>
          </w:tcPr>
          <w:p w14:paraId="1DFE674F" w14:textId="77777777" w:rsidR="00161F40" w:rsidRPr="00FA486E" w:rsidRDefault="00C406B5">
            <w:pPr>
              <w:pStyle w:val="Compact"/>
              <w:rPr>
                <w:lang w:val="en-GB"/>
              </w:rPr>
            </w:pPr>
            <w:r w:rsidRPr="00FA486E">
              <w:rPr>
                <w:lang w:val="en-GB"/>
              </w:rPr>
              <w:t>Alive</w:t>
            </w:r>
          </w:p>
        </w:tc>
        <w:tc>
          <w:tcPr>
            <w:tcW w:w="1346" w:type="pct"/>
          </w:tcPr>
          <w:p w14:paraId="43CDFD58" w14:textId="7F0776B4" w:rsidR="00161F40" w:rsidRPr="00FA486E" w:rsidRDefault="00C406B5">
            <w:pPr>
              <w:pStyle w:val="Compact"/>
              <w:rPr>
                <w:lang w:val="en-GB"/>
              </w:rPr>
            </w:pPr>
            <w:r w:rsidRPr="00FA486E">
              <w:rPr>
                <w:lang w:val="en-GB"/>
              </w:rPr>
              <w:t>2582</w:t>
            </w:r>
            <w:r w:rsidR="00FA3183">
              <w:rPr>
                <w:lang w:val="en-GB"/>
              </w:rPr>
              <w:t>8</w:t>
            </w:r>
            <w:r w:rsidRPr="00FA486E">
              <w:rPr>
                <w:lang w:val="en-GB"/>
              </w:rPr>
              <w:t xml:space="preserve"> (9</w:t>
            </w:r>
            <w:r w:rsidR="00FA3183">
              <w:rPr>
                <w:lang w:val="en-GB"/>
              </w:rPr>
              <w:t>6</w:t>
            </w:r>
            <w:r w:rsidRPr="00FA486E">
              <w:rPr>
                <w:lang w:val="en-GB"/>
              </w:rPr>
              <w:t>)</w:t>
            </w:r>
          </w:p>
        </w:tc>
        <w:tc>
          <w:tcPr>
            <w:tcW w:w="1346" w:type="pct"/>
          </w:tcPr>
          <w:p w14:paraId="507CE2EC" w14:textId="32398124" w:rsidR="00161F40" w:rsidRPr="00FA486E" w:rsidRDefault="00C406B5">
            <w:pPr>
              <w:pStyle w:val="Compact"/>
              <w:rPr>
                <w:lang w:val="en-GB"/>
              </w:rPr>
            </w:pPr>
            <w:r w:rsidRPr="00FA486E">
              <w:rPr>
                <w:lang w:val="en-GB"/>
              </w:rPr>
              <w:t>5628 (94)</w:t>
            </w:r>
          </w:p>
        </w:tc>
      </w:tr>
      <w:tr w:rsidR="00161F40" w:rsidRPr="00A405BD" w14:paraId="39AACDB7" w14:textId="77777777" w:rsidTr="001312BF">
        <w:tblPrEx>
          <w:tblBorders>
            <w:bottom w:val="none" w:sz="0" w:space="0" w:color="auto"/>
          </w:tblBorders>
        </w:tblPrEx>
        <w:tc>
          <w:tcPr>
            <w:tcW w:w="1730" w:type="pct"/>
          </w:tcPr>
          <w:p w14:paraId="28535395" w14:textId="77777777" w:rsidR="00161F40" w:rsidRPr="00FA486E" w:rsidRDefault="00161F40">
            <w:pPr>
              <w:pStyle w:val="Compact"/>
              <w:rPr>
                <w:lang w:val="en-GB"/>
              </w:rPr>
            </w:pPr>
          </w:p>
        </w:tc>
        <w:tc>
          <w:tcPr>
            <w:tcW w:w="578" w:type="pct"/>
          </w:tcPr>
          <w:p w14:paraId="1FBA46A9" w14:textId="77777777" w:rsidR="00161F40" w:rsidRPr="00FA486E" w:rsidRDefault="00C406B5">
            <w:pPr>
              <w:pStyle w:val="Compact"/>
              <w:rPr>
                <w:lang w:val="en-GB"/>
              </w:rPr>
            </w:pPr>
            <w:r w:rsidRPr="00FA486E">
              <w:rPr>
                <w:lang w:val="en-GB"/>
              </w:rPr>
              <w:t>Dead</w:t>
            </w:r>
          </w:p>
        </w:tc>
        <w:tc>
          <w:tcPr>
            <w:tcW w:w="1346" w:type="pct"/>
          </w:tcPr>
          <w:p w14:paraId="48357877" w14:textId="45069EF8" w:rsidR="00161F40" w:rsidRPr="00FA486E" w:rsidRDefault="00C406B5">
            <w:pPr>
              <w:pStyle w:val="Compact"/>
              <w:rPr>
                <w:lang w:val="en-GB"/>
              </w:rPr>
            </w:pPr>
            <w:r w:rsidRPr="00FA486E">
              <w:rPr>
                <w:lang w:val="en-GB"/>
              </w:rPr>
              <w:t>1137 (4)</w:t>
            </w:r>
          </w:p>
        </w:tc>
        <w:tc>
          <w:tcPr>
            <w:tcW w:w="1346" w:type="pct"/>
          </w:tcPr>
          <w:p w14:paraId="465B5A7A" w14:textId="61801228" w:rsidR="00161F40" w:rsidRPr="00FA486E" w:rsidRDefault="00C406B5">
            <w:pPr>
              <w:pStyle w:val="Compact"/>
              <w:rPr>
                <w:lang w:val="en-GB"/>
              </w:rPr>
            </w:pPr>
            <w:r w:rsidRPr="00FA486E">
              <w:rPr>
                <w:lang w:val="en-GB"/>
              </w:rPr>
              <w:t>32</w:t>
            </w:r>
            <w:r w:rsidR="00FA3183">
              <w:rPr>
                <w:lang w:val="en-GB"/>
              </w:rPr>
              <w:t>8</w:t>
            </w:r>
            <w:r w:rsidRPr="00FA486E">
              <w:rPr>
                <w:lang w:val="en-GB"/>
              </w:rPr>
              <w:t xml:space="preserve"> (</w:t>
            </w:r>
            <w:r w:rsidR="00FA3183">
              <w:rPr>
                <w:lang w:val="en-GB"/>
              </w:rPr>
              <w:t>6</w:t>
            </w:r>
            <w:r w:rsidRPr="00FA486E">
              <w:rPr>
                <w:lang w:val="en-GB"/>
              </w:rPr>
              <w:t>)</w:t>
            </w:r>
          </w:p>
        </w:tc>
      </w:tr>
      <w:tr w:rsidR="00161F40" w:rsidRPr="00A405BD" w14:paraId="7ED40101" w14:textId="77777777" w:rsidTr="001312BF">
        <w:tblPrEx>
          <w:tblBorders>
            <w:bottom w:val="none" w:sz="0" w:space="0" w:color="auto"/>
          </w:tblBorders>
        </w:tblPrEx>
        <w:tc>
          <w:tcPr>
            <w:tcW w:w="1730" w:type="pct"/>
          </w:tcPr>
          <w:p w14:paraId="68A2C5B0" w14:textId="09456C7D" w:rsidR="00161F40" w:rsidRPr="00FA486E" w:rsidRDefault="00C406B5">
            <w:pPr>
              <w:pStyle w:val="Compact"/>
              <w:rPr>
                <w:lang w:val="en-GB"/>
              </w:rPr>
            </w:pPr>
            <w:r w:rsidRPr="00FA486E">
              <w:rPr>
                <w:lang w:val="en-GB"/>
              </w:rPr>
              <w:t xml:space="preserve">ISS </w:t>
            </w:r>
          </w:p>
        </w:tc>
        <w:tc>
          <w:tcPr>
            <w:tcW w:w="578" w:type="pct"/>
          </w:tcPr>
          <w:p w14:paraId="4786D378" w14:textId="77777777" w:rsidR="00161F40" w:rsidRPr="00FA486E" w:rsidRDefault="00161F40">
            <w:pPr>
              <w:pStyle w:val="Compact"/>
              <w:rPr>
                <w:lang w:val="en-GB"/>
              </w:rPr>
            </w:pPr>
          </w:p>
        </w:tc>
        <w:tc>
          <w:tcPr>
            <w:tcW w:w="1346" w:type="pct"/>
          </w:tcPr>
          <w:p w14:paraId="1A6B76F7" w14:textId="7EEDAAD3" w:rsidR="00161F40" w:rsidRPr="00FA486E" w:rsidRDefault="00C406B5">
            <w:pPr>
              <w:pStyle w:val="Compact"/>
              <w:rPr>
                <w:lang w:val="en-GB"/>
              </w:rPr>
            </w:pPr>
            <w:r w:rsidRPr="00FA486E">
              <w:rPr>
                <w:lang w:val="en-GB"/>
              </w:rPr>
              <w:t>4 [1, 9]</w:t>
            </w:r>
          </w:p>
        </w:tc>
        <w:tc>
          <w:tcPr>
            <w:tcW w:w="1346" w:type="pct"/>
          </w:tcPr>
          <w:p w14:paraId="27BFA970" w14:textId="2AD8E831" w:rsidR="00161F40" w:rsidRPr="00FA486E" w:rsidRDefault="00C406B5">
            <w:pPr>
              <w:pStyle w:val="Compact"/>
              <w:rPr>
                <w:lang w:val="en-GB"/>
              </w:rPr>
            </w:pPr>
            <w:r w:rsidRPr="00FA486E">
              <w:rPr>
                <w:lang w:val="en-GB"/>
              </w:rPr>
              <w:t>5 [1, 14]</w:t>
            </w:r>
          </w:p>
        </w:tc>
      </w:tr>
      <w:tr w:rsidR="00161F40" w:rsidRPr="00A405BD" w14:paraId="4A7BA454" w14:textId="77777777" w:rsidTr="001312BF">
        <w:tblPrEx>
          <w:tblBorders>
            <w:bottom w:val="none" w:sz="0" w:space="0" w:color="auto"/>
          </w:tblBorders>
        </w:tblPrEx>
        <w:tc>
          <w:tcPr>
            <w:tcW w:w="1730" w:type="pct"/>
          </w:tcPr>
          <w:p w14:paraId="263782F8" w14:textId="5E507478" w:rsidR="00161F40" w:rsidRPr="00FA486E" w:rsidRDefault="00C406B5">
            <w:pPr>
              <w:pStyle w:val="Compact"/>
              <w:rPr>
                <w:lang w:val="en-GB"/>
              </w:rPr>
            </w:pPr>
            <w:r w:rsidRPr="00FA486E">
              <w:rPr>
                <w:lang w:val="en-GB"/>
              </w:rPr>
              <w:t xml:space="preserve">NISS </w:t>
            </w:r>
          </w:p>
        </w:tc>
        <w:tc>
          <w:tcPr>
            <w:tcW w:w="578" w:type="pct"/>
          </w:tcPr>
          <w:p w14:paraId="3AA82475" w14:textId="77777777" w:rsidR="00161F40" w:rsidRPr="00FA486E" w:rsidRDefault="00161F40">
            <w:pPr>
              <w:pStyle w:val="Compact"/>
              <w:rPr>
                <w:lang w:val="en-GB"/>
              </w:rPr>
            </w:pPr>
          </w:p>
        </w:tc>
        <w:tc>
          <w:tcPr>
            <w:tcW w:w="1346" w:type="pct"/>
          </w:tcPr>
          <w:p w14:paraId="5F8B7777" w14:textId="1B621DD1" w:rsidR="00161F40" w:rsidRPr="00FA486E" w:rsidRDefault="00C406B5">
            <w:pPr>
              <w:pStyle w:val="Compact"/>
              <w:rPr>
                <w:lang w:val="en-GB"/>
              </w:rPr>
            </w:pPr>
            <w:r w:rsidRPr="00FA486E">
              <w:rPr>
                <w:lang w:val="en-GB"/>
              </w:rPr>
              <w:t>4 [1, 12]</w:t>
            </w:r>
          </w:p>
        </w:tc>
        <w:tc>
          <w:tcPr>
            <w:tcW w:w="1346" w:type="pct"/>
          </w:tcPr>
          <w:p w14:paraId="0472FDB4" w14:textId="7A205E9A" w:rsidR="00161F40" w:rsidRPr="00FA486E" w:rsidRDefault="00C406B5">
            <w:pPr>
              <w:pStyle w:val="Compact"/>
              <w:rPr>
                <w:lang w:val="en-GB"/>
              </w:rPr>
            </w:pPr>
            <w:r w:rsidRPr="00FA486E">
              <w:rPr>
                <w:lang w:val="en-GB"/>
              </w:rPr>
              <w:t>9 [3, 22]</w:t>
            </w:r>
          </w:p>
        </w:tc>
      </w:tr>
      <w:tr w:rsidR="00161F40" w:rsidRPr="00A405BD" w14:paraId="63D12C78" w14:textId="77777777" w:rsidTr="001312BF">
        <w:tblPrEx>
          <w:tblBorders>
            <w:bottom w:val="none" w:sz="0" w:space="0" w:color="auto"/>
          </w:tblBorders>
        </w:tblPrEx>
        <w:tc>
          <w:tcPr>
            <w:tcW w:w="1730" w:type="pct"/>
          </w:tcPr>
          <w:p w14:paraId="045BFE5D" w14:textId="46DA282A" w:rsidR="00161F40" w:rsidRPr="00FA486E" w:rsidRDefault="00C406B5">
            <w:pPr>
              <w:pStyle w:val="Compact"/>
              <w:rPr>
                <w:lang w:val="en-GB"/>
              </w:rPr>
            </w:pPr>
            <w:r w:rsidRPr="00FA486E">
              <w:rPr>
                <w:lang w:val="en-GB"/>
              </w:rPr>
              <w:t xml:space="preserve">ISS&gt;15 </w:t>
            </w:r>
          </w:p>
        </w:tc>
        <w:tc>
          <w:tcPr>
            <w:tcW w:w="578" w:type="pct"/>
          </w:tcPr>
          <w:p w14:paraId="5839F313" w14:textId="77777777" w:rsidR="00161F40" w:rsidRPr="00FA486E" w:rsidRDefault="00C406B5">
            <w:pPr>
              <w:pStyle w:val="Compact"/>
              <w:rPr>
                <w:lang w:val="en-GB"/>
              </w:rPr>
            </w:pPr>
            <w:r w:rsidRPr="00FA486E">
              <w:rPr>
                <w:lang w:val="en-GB"/>
              </w:rPr>
              <w:t>No</w:t>
            </w:r>
          </w:p>
        </w:tc>
        <w:tc>
          <w:tcPr>
            <w:tcW w:w="1346" w:type="pct"/>
          </w:tcPr>
          <w:p w14:paraId="422F1012" w14:textId="5273DCD2" w:rsidR="00161F40" w:rsidRPr="00FA486E" w:rsidRDefault="00C406B5">
            <w:pPr>
              <w:pStyle w:val="Compact"/>
              <w:rPr>
                <w:lang w:val="en-GB"/>
              </w:rPr>
            </w:pPr>
            <w:r w:rsidRPr="00FA486E">
              <w:rPr>
                <w:lang w:val="en-GB"/>
              </w:rPr>
              <w:t>2287</w:t>
            </w:r>
            <w:r w:rsidR="00FA3183">
              <w:rPr>
                <w:lang w:val="en-GB"/>
              </w:rPr>
              <w:t>4</w:t>
            </w:r>
            <w:r w:rsidRPr="00FA486E">
              <w:rPr>
                <w:lang w:val="en-GB"/>
              </w:rPr>
              <w:t xml:space="preserve"> (8</w:t>
            </w:r>
            <w:r w:rsidR="00FA3183">
              <w:rPr>
                <w:lang w:val="en-GB"/>
              </w:rPr>
              <w:t>5</w:t>
            </w:r>
            <w:r w:rsidRPr="00FA486E">
              <w:rPr>
                <w:lang w:val="en-GB"/>
              </w:rPr>
              <w:t>)</w:t>
            </w:r>
          </w:p>
        </w:tc>
        <w:tc>
          <w:tcPr>
            <w:tcW w:w="1346" w:type="pct"/>
          </w:tcPr>
          <w:p w14:paraId="22885929" w14:textId="7A25795D" w:rsidR="00161F40" w:rsidRPr="00FA486E" w:rsidRDefault="00C406B5">
            <w:pPr>
              <w:pStyle w:val="Compact"/>
              <w:rPr>
                <w:lang w:val="en-GB"/>
              </w:rPr>
            </w:pPr>
            <w:r w:rsidRPr="00FA486E">
              <w:rPr>
                <w:lang w:val="en-GB"/>
              </w:rPr>
              <w:t>448</w:t>
            </w:r>
            <w:r w:rsidR="00FA3183">
              <w:rPr>
                <w:lang w:val="en-GB"/>
              </w:rPr>
              <w:t>9</w:t>
            </w:r>
            <w:r w:rsidRPr="00FA486E">
              <w:rPr>
                <w:lang w:val="en-GB"/>
              </w:rPr>
              <w:t xml:space="preserve"> (75)</w:t>
            </w:r>
          </w:p>
        </w:tc>
      </w:tr>
      <w:tr w:rsidR="00161F40" w:rsidRPr="00A405BD" w14:paraId="741B9713" w14:textId="77777777" w:rsidTr="001312BF">
        <w:tblPrEx>
          <w:tblBorders>
            <w:bottom w:val="none" w:sz="0" w:space="0" w:color="auto"/>
          </w:tblBorders>
        </w:tblPrEx>
        <w:tc>
          <w:tcPr>
            <w:tcW w:w="1730" w:type="pct"/>
          </w:tcPr>
          <w:p w14:paraId="6AA3E8BC" w14:textId="77777777" w:rsidR="00161F40" w:rsidRPr="00FA486E" w:rsidRDefault="00161F40">
            <w:pPr>
              <w:pStyle w:val="Compact"/>
              <w:rPr>
                <w:lang w:val="en-GB"/>
              </w:rPr>
            </w:pPr>
          </w:p>
        </w:tc>
        <w:tc>
          <w:tcPr>
            <w:tcW w:w="578" w:type="pct"/>
          </w:tcPr>
          <w:p w14:paraId="2D2458C7" w14:textId="77777777" w:rsidR="00161F40" w:rsidRPr="00FA486E" w:rsidRDefault="00C406B5">
            <w:pPr>
              <w:pStyle w:val="Compact"/>
              <w:rPr>
                <w:lang w:val="en-GB"/>
              </w:rPr>
            </w:pPr>
            <w:r w:rsidRPr="00FA486E">
              <w:rPr>
                <w:lang w:val="en-GB"/>
              </w:rPr>
              <w:t>Yes</w:t>
            </w:r>
          </w:p>
        </w:tc>
        <w:tc>
          <w:tcPr>
            <w:tcW w:w="1346" w:type="pct"/>
          </w:tcPr>
          <w:p w14:paraId="666E9405" w14:textId="4911B3DE" w:rsidR="00161F40" w:rsidRPr="00FA486E" w:rsidRDefault="00C406B5">
            <w:pPr>
              <w:pStyle w:val="Compact"/>
              <w:rPr>
                <w:lang w:val="en-GB"/>
              </w:rPr>
            </w:pPr>
            <w:r w:rsidRPr="00FA486E">
              <w:rPr>
                <w:lang w:val="en-GB"/>
              </w:rPr>
              <w:t>4091 (15)</w:t>
            </w:r>
          </w:p>
        </w:tc>
        <w:tc>
          <w:tcPr>
            <w:tcW w:w="1346" w:type="pct"/>
          </w:tcPr>
          <w:p w14:paraId="3B3179D4" w14:textId="51CE0DA8" w:rsidR="00161F40" w:rsidRPr="00FA486E" w:rsidRDefault="00C406B5">
            <w:pPr>
              <w:pStyle w:val="Compact"/>
              <w:rPr>
                <w:lang w:val="en-GB"/>
              </w:rPr>
            </w:pPr>
            <w:r w:rsidRPr="00FA486E">
              <w:rPr>
                <w:lang w:val="en-GB"/>
              </w:rPr>
              <w:t>1467 (2</w:t>
            </w:r>
            <w:r w:rsidR="00FA3183">
              <w:rPr>
                <w:lang w:val="en-GB"/>
              </w:rPr>
              <w:t>5</w:t>
            </w:r>
            <w:r w:rsidRPr="00FA486E">
              <w:rPr>
                <w:lang w:val="en-GB"/>
              </w:rPr>
              <w:t>)</w:t>
            </w:r>
          </w:p>
        </w:tc>
      </w:tr>
    </w:tbl>
    <w:p w14:paraId="617FA4AB" w14:textId="77777777" w:rsidR="00161F40" w:rsidRPr="00FA486E" w:rsidRDefault="00C406B5" w:rsidP="001312BF">
      <w:pPr>
        <w:pStyle w:val="Brdtext"/>
        <w:spacing w:line="240" w:lineRule="auto"/>
        <w:rPr>
          <w:lang w:val="en-GB"/>
        </w:rPr>
      </w:pPr>
      <w:r w:rsidRPr="00FA486E">
        <w:rPr>
          <w:lang w:val="en-GB"/>
        </w:rPr>
        <w:t>GCS, Glasgow coma scale; SBP, systolic blood pressure; RR, respiratory rate; ISS, injury severity score; NISS, new injury severity score</w:t>
      </w:r>
    </w:p>
    <w:p w14:paraId="78DD1C31" w14:textId="77777777" w:rsidR="00161F40" w:rsidRPr="00FA486E" w:rsidRDefault="00C406B5" w:rsidP="00D0566F">
      <w:pPr>
        <w:pStyle w:val="Rubrik2"/>
        <w:spacing w:line="360" w:lineRule="auto"/>
        <w:rPr>
          <w:lang w:val="en-GB"/>
        </w:rPr>
      </w:pPr>
      <w:bookmarkStart w:id="26" w:name="development-and-validation"/>
      <w:bookmarkEnd w:id="26"/>
      <w:r w:rsidRPr="00FA486E">
        <w:rPr>
          <w:lang w:val="en-GB"/>
        </w:rPr>
        <w:lastRenderedPageBreak/>
        <w:t>Development and validation</w:t>
      </w:r>
    </w:p>
    <w:p w14:paraId="558F8F77" w14:textId="20F8A07E" w:rsidR="00161F40" w:rsidRPr="00FA486E" w:rsidRDefault="00C406B5" w:rsidP="00D0566F">
      <w:pPr>
        <w:pStyle w:val="FirstParagraph"/>
        <w:spacing w:line="360" w:lineRule="auto"/>
        <w:rPr>
          <w:lang w:val="en-GB"/>
        </w:rPr>
      </w:pPr>
      <w:r w:rsidRPr="00FA486E">
        <w:rPr>
          <w:lang w:val="en-GB"/>
        </w:rPr>
        <w:t xml:space="preserve">During model development, the number of imputations used for each </w:t>
      </w:r>
      <w:r w:rsidR="003A6E7E" w:rsidRPr="007451B4">
        <w:rPr>
          <w:lang w:val="en-GB"/>
        </w:rPr>
        <w:t>sample</w:t>
      </w:r>
      <w:r w:rsidRPr="00FA486E">
        <w:rPr>
          <w:lang w:val="en-GB"/>
        </w:rPr>
        <w:t xml:space="preserve"> was 4</w:t>
      </w:r>
      <w:r w:rsidR="007451B4">
        <w:rPr>
          <w:lang w:val="en-GB"/>
        </w:rPr>
        <w:t>7</w:t>
      </w:r>
      <w:r w:rsidRPr="00FA486E">
        <w:rPr>
          <w:lang w:val="en-GB"/>
        </w:rPr>
        <w:t xml:space="preserve">, </w:t>
      </w:r>
      <w:r w:rsidR="007451B4">
        <w:rPr>
          <w:lang w:val="en-GB"/>
        </w:rPr>
        <w:t>57</w:t>
      </w:r>
      <w:r w:rsidRPr="00FA486E">
        <w:rPr>
          <w:lang w:val="en-GB"/>
        </w:rPr>
        <w:t xml:space="preserve"> and 3</w:t>
      </w:r>
      <w:r w:rsidR="007451B4">
        <w:rPr>
          <w:lang w:val="en-GB"/>
        </w:rPr>
        <w:t>8</w:t>
      </w:r>
      <w:r w:rsidRPr="00FA486E">
        <w:rPr>
          <w:lang w:val="en-GB"/>
        </w:rPr>
        <w:t xml:space="preserve"> for the high- and low-volume dataset</w:t>
      </w:r>
      <w:r w:rsidR="00A24ECC">
        <w:rPr>
          <w:lang w:val="en-GB"/>
        </w:rPr>
        <w:t xml:space="preserve"> group</w:t>
      </w:r>
      <w:r w:rsidRPr="00FA486E">
        <w:rPr>
          <w:lang w:val="en-GB"/>
        </w:rPr>
        <w:t>, the metropolitan and non-metropolitan dataset</w:t>
      </w:r>
      <w:r w:rsidR="00A24ECC">
        <w:rPr>
          <w:lang w:val="en-GB"/>
        </w:rPr>
        <w:t xml:space="preserve"> group</w:t>
      </w:r>
      <w:r w:rsidRPr="00FA486E">
        <w:rPr>
          <w:lang w:val="en-GB"/>
        </w:rPr>
        <w:t>, and the multi</w:t>
      </w:r>
      <w:r w:rsidR="00420309">
        <w:rPr>
          <w:lang w:val="en-GB"/>
        </w:rPr>
        <w:t>-</w:t>
      </w:r>
      <w:r w:rsidRPr="00FA486E">
        <w:rPr>
          <w:lang w:val="en-GB"/>
        </w:rPr>
        <w:t xml:space="preserve"> and single centre dataset</w:t>
      </w:r>
      <w:r w:rsidR="00A24ECC">
        <w:rPr>
          <w:lang w:val="en-GB"/>
        </w:rPr>
        <w:t xml:space="preserve"> group</w:t>
      </w:r>
      <w:r w:rsidRPr="00FA486E">
        <w:rPr>
          <w:lang w:val="en-GB"/>
        </w:rPr>
        <w:t>, respectively.</w:t>
      </w:r>
    </w:p>
    <w:p w14:paraId="7F7FB83F" w14:textId="53D8B455" w:rsidR="00161F40" w:rsidRPr="00FA486E" w:rsidRDefault="00C406B5" w:rsidP="00D0566F">
      <w:pPr>
        <w:pStyle w:val="Brdtext"/>
        <w:spacing w:line="360" w:lineRule="auto"/>
        <w:rPr>
          <w:lang w:val="en-GB"/>
        </w:rPr>
      </w:pPr>
      <w:r w:rsidRPr="00FA486E">
        <w:rPr>
          <w:lang w:val="en-GB"/>
        </w:rPr>
        <w:t>Table 2 shows the model validation performance. The model with the lowest</w:t>
      </w:r>
      <w:r w:rsidR="00D1175E">
        <w:rPr>
          <w:lang w:val="en-GB"/>
        </w:rPr>
        <w:t xml:space="preserve"> </w:t>
      </w:r>
      <w:r w:rsidRPr="00FA486E">
        <w:rPr>
          <w:lang w:val="en-GB"/>
        </w:rPr>
        <w:t xml:space="preserve">mistriage rate was the non-metropolitan model, </w:t>
      </w:r>
      <w:r w:rsidR="00EB2C8F">
        <w:rPr>
          <w:lang w:val="en-GB"/>
        </w:rPr>
        <w:t xml:space="preserve">with an </w:t>
      </w:r>
      <w:r w:rsidRPr="00FA486E">
        <w:rPr>
          <w:lang w:val="en-GB"/>
        </w:rPr>
        <w:t xml:space="preserve">undertriage and overtriage rate </w:t>
      </w:r>
      <w:r w:rsidR="00EB2C8F">
        <w:rPr>
          <w:lang w:val="en-GB"/>
        </w:rPr>
        <w:t>of</w:t>
      </w:r>
      <w:r w:rsidRPr="00FA486E">
        <w:rPr>
          <w:lang w:val="en-GB"/>
        </w:rPr>
        <w:t xml:space="preserve"> 0.05 (0.</w:t>
      </w:r>
      <w:r w:rsidR="007451B4" w:rsidRPr="00FA486E">
        <w:rPr>
          <w:lang w:val="en-GB"/>
        </w:rPr>
        <w:t>0</w:t>
      </w:r>
      <w:r w:rsidR="007451B4">
        <w:rPr>
          <w:lang w:val="en-GB"/>
        </w:rPr>
        <w:t>5</w:t>
      </w:r>
      <w:r w:rsidR="007451B4" w:rsidRPr="00FA486E">
        <w:rPr>
          <w:lang w:val="en-GB"/>
        </w:rPr>
        <w:t xml:space="preserve"> </w:t>
      </w:r>
      <w:r w:rsidRPr="00FA486E">
        <w:rPr>
          <w:lang w:val="en-GB"/>
        </w:rPr>
        <w:t>- 0.</w:t>
      </w:r>
      <w:r w:rsidR="007451B4" w:rsidRPr="00FA486E">
        <w:rPr>
          <w:lang w:val="en-GB"/>
        </w:rPr>
        <w:t>0</w:t>
      </w:r>
      <w:r w:rsidR="007451B4">
        <w:rPr>
          <w:lang w:val="en-GB"/>
        </w:rPr>
        <w:t>8</w:t>
      </w:r>
      <w:r w:rsidRPr="00FA486E">
        <w:rPr>
          <w:lang w:val="en-GB"/>
        </w:rPr>
        <w:t>) and 0.</w:t>
      </w:r>
      <w:r w:rsidR="007451B4">
        <w:rPr>
          <w:lang w:val="en-GB"/>
        </w:rPr>
        <w:t>20</w:t>
      </w:r>
      <w:r w:rsidR="007451B4" w:rsidRPr="00FA486E">
        <w:rPr>
          <w:lang w:val="en-GB"/>
        </w:rPr>
        <w:t xml:space="preserve"> </w:t>
      </w:r>
      <w:r w:rsidRPr="00FA486E">
        <w:rPr>
          <w:lang w:val="en-GB"/>
        </w:rPr>
        <w:t>(0.</w:t>
      </w:r>
      <w:r w:rsidR="007451B4" w:rsidRPr="00FA486E">
        <w:rPr>
          <w:lang w:val="en-GB"/>
        </w:rPr>
        <w:t>1</w:t>
      </w:r>
      <w:r w:rsidR="007451B4">
        <w:rPr>
          <w:lang w:val="en-GB"/>
        </w:rPr>
        <w:t>3</w:t>
      </w:r>
      <w:r w:rsidR="007451B4" w:rsidRPr="00FA486E">
        <w:rPr>
          <w:lang w:val="en-GB"/>
        </w:rPr>
        <w:t xml:space="preserve"> </w:t>
      </w:r>
      <w:r w:rsidRPr="00FA486E">
        <w:rPr>
          <w:lang w:val="en-GB"/>
        </w:rPr>
        <w:t>- 0.</w:t>
      </w:r>
      <w:r w:rsidR="007451B4">
        <w:rPr>
          <w:lang w:val="en-GB"/>
        </w:rPr>
        <w:t>38</w:t>
      </w:r>
      <w:r w:rsidRPr="00FA486E">
        <w:rPr>
          <w:lang w:val="en-GB"/>
        </w:rPr>
        <w:t>), respectively.</w:t>
      </w:r>
    </w:p>
    <w:p w14:paraId="61CC37EE" w14:textId="522E42BF" w:rsidR="00161F40" w:rsidRPr="00FA486E" w:rsidRDefault="00C406B5" w:rsidP="001312BF">
      <w:pPr>
        <w:pStyle w:val="Brdtext"/>
        <w:spacing w:line="240" w:lineRule="auto"/>
        <w:rPr>
          <w:lang w:val="en-GB"/>
        </w:rPr>
      </w:pPr>
      <w:r w:rsidRPr="00FA486E">
        <w:rPr>
          <w:b/>
          <w:lang w:val="en-GB"/>
        </w:rPr>
        <w:t>Table 2. Model validation performance, i.e. </w:t>
      </w:r>
      <w:r w:rsidR="00420309">
        <w:rPr>
          <w:b/>
          <w:lang w:val="en-GB"/>
        </w:rPr>
        <w:t xml:space="preserve">model </w:t>
      </w:r>
      <w:r w:rsidRPr="00FA486E">
        <w:rPr>
          <w:b/>
          <w:lang w:val="en-GB"/>
        </w:rPr>
        <w:t>performance when</w:t>
      </w:r>
      <w:r w:rsidR="00420309">
        <w:rPr>
          <w:b/>
          <w:lang w:val="en-GB"/>
        </w:rPr>
        <w:t xml:space="preserve"> the model was</w:t>
      </w:r>
      <w:r w:rsidRPr="00FA486E">
        <w:rPr>
          <w:b/>
          <w:lang w:val="en-GB"/>
        </w:rPr>
        <w:t xml:space="preserve"> applied to the</w:t>
      </w:r>
      <w:r w:rsidR="00954F2B">
        <w:rPr>
          <w:b/>
          <w:lang w:val="en-GB"/>
        </w:rPr>
        <w:t xml:space="preserve"> </w:t>
      </w:r>
      <w:r w:rsidRPr="00FA486E">
        <w:rPr>
          <w:b/>
          <w:lang w:val="en-GB"/>
        </w:rPr>
        <w:t xml:space="preserve">validation sample of the </w:t>
      </w:r>
      <w:r w:rsidR="004713FF">
        <w:rPr>
          <w:b/>
          <w:lang w:val="en-GB"/>
        </w:rPr>
        <w:t>dataset</w:t>
      </w:r>
      <w:r w:rsidRPr="00FA486E">
        <w:rPr>
          <w:b/>
          <w:lang w:val="en-GB"/>
        </w:rPr>
        <w:t xml:space="preserve"> in which the model was </w:t>
      </w:r>
      <w:r w:rsidR="00420309">
        <w:rPr>
          <w:b/>
          <w:lang w:val="en-GB"/>
        </w:rPr>
        <w:t>developed</w:t>
      </w:r>
      <w:r w:rsidRPr="00FA486E">
        <w:rPr>
          <w:b/>
          <w:lang w:val="en-GB"/>
        </w:rPr>
        <w:t>.</w:t>
      </w:r>
      <w:r w:rsidRPr="00FA486E">
        <w:rPr>
          <w:lang w:val="en-GB"/>
        </w:rPr>
        <w:t xml:space="preserve"> Data are presented as point estimates with 95% </w:t>
      </w:r>
      <w:r w:rsidR="00420309">
        <w:rPr>
          <w:lang w:val="en-GB"/>
        </w:rPr>
        <w:t>confidence</w:t>
      </w:r>
      <w:r w:rsidRPr="00FA486E">
        <w:rPr>
          <w:lang w:val="en-GB"/>
        </w:rPr>
        <w:t xml:space="preserve"> intervals</w:t>
      </w:r>
      <w:r w:rsidR="00420309">
        <w:rPr>
          <w:lang w:val="en-GB"/>
        </w:rPr>
        <w:t>.</w:t>
      </w:r>
    </w:p>
    <w:tbl>
      <w:tblPr>
        <w:tblW w:w="5000" w:type="pct"/>
        <w:tblLook w:val="07E0" w:firstRow="1" w:lastRow="1" w:firstColumn="1" w:lastColumn="1" w:noHBand="1" w:noVBand="1"/>
      </w:tblPr>
      <w:tblGrid>
        <w:gridCol w:w="2420"/>
        <w:gridCol w:w="3352"/>
        <w:gridCol w:w="3634"/>
      </w:tblGrid>
      <w:tr w:rsidR="00CC26A6" w14:paraId="65CF2346" w14:textId="77777777" w:rsidTr="00FA486E">
        <w:tc>
          <w:tcPr>
            <w:tcW w:w="1286" w:type="pct"/>
            <w:tcBorders>
              <w:bottom w:val="single" w:sz="4" w:space="0" w:color="auto"/>
            </w:tcBorders>
            <w:vAlign w:val="bottom"/>
          </w:tcPr>
          <w:p w14:paraId="728A86CA" w14:textId="77777777" w:rsidR="00161F40" w:rsidRPr="00FA486E" w:rsidRDefault="00161F40">
            <w:pPr>
              <w:pStyle w:val="Compact"/>
              <w:rPr>
                <w:lang w:val="en-GB"/>
              </w:rPr>
            </w:pPr>
          </w:p>
        </w:tc>
        <w:tc>
          <w:tcPr>
            <w:tcW w:w="1782" w:type="pct"/>
            <w:tcBorders>
              <w:bottom w:val="single" w:sz="4" w:space="0" w:color="auto"/>
            </w:tcBorders>
            <w:vAlign w:val="bottom"/>
          </w:tcPr>
          <w:p w14:paraId="4761F1B6" w14:textId="77777777" w:rsidR="00161F40" w:rsidRPr="00FA486E" w:rsidRDefault="00C406B5">
            <w:pPr>
              <w:pStyle w:val="Compact"/>
              <w:rPr>
                <w:b/>
                <w:lang w:val="en-GB"/>
              </w:rPr>
            </w:pPr>
            <w:r w:rsidRPr="00FA486E">
              <w:rPr>
                <w:b/>
                <w:lang w:val="en-GB"/>
              </w:rPr>
              <w:t>High-volume</w:t>
            </w:r>
          </w:p>
        </w:tc>
        <w:tc>
          <w:tcPr>
            <w:tcW w:w="1932" w:type="pct"/>
            <w:tcBorders>
              <w:bottom w:val="single" w:sz="4" w:space="0" w:color="auto"/>
            </w:tcBorders>
            <w:vAlign w:val="bottom"/>
          </w:tcPr>
          <w:p w14:paraId="1382B68D" w14:textId="77777777" w:rsidR="00161F40" w:rsidRPr="00FA486E" w:rsidRDefault="00C406B5">
            <w:pPr>
              <w:pStyle w:val="Compact"/>
              <w:rPr>
                <w:b/>
                <w:lang w:val="en-GB"/>
              </w:rPr>
            </w:pPr>
            <w:proofErr w:type="gramStart"/>
            <w:r w:rsidRPr="00FA486E">
              <w:rPr>
                <w:b/>
                <w:lang w:val="en-GB"/>
              </w:rPr>
              <w:t>Low-volume</w:t>
            </w:r>
            <w:proofErr w:type="gramEnd"/>
          </w:p>
        </w:tc>
      </w:tr>
      <w:tr w:rsidR="007451B4" w:rsidRPr="00A405BD" w14:paraId="5B0173EB" w14:textId="77777777" w:rsidTr="00FA486E">
        <w:tc>
          <w:tcPr>
            <w:tcW w:w="1286" w:type="pct"/>
            <w:tcBorders>
              <w:top w:val="single" w:sz="4" w:space="0" w:color="auto"/>
            </w:tcBorders>
          </w:tcPr>
          <w:p w14:paraId="181F2C3F" w14:textId="53C36BCF" w:rsidR="007451B4" w:rsidRPr="00FA486E" w:rsidRDefault="007451B4" w:rsidP="007451B4">
            <w:pPr>
              <w:pStyle w:val="Compact"/>
              <w:rPr>
                <w:lang w:val="en-GB"/>
              </w:rPr>
            </w:pPr>
            <w:r w:rsidRPr="00CF1A8A">
              <w:t>Mistriage</w:t>
            </w:r>
          </w:p>
        </w:tc>
        <w:tc>
          <w:tcPr>
            <w:tcW w:w="1782" w:type="pct"/>
            <w:tcBorders>
              <w:top w:val="single" w:sz="4" w:space="0" w:color="auto"/>
            </w:tcBorders>
          </w:tcPr>
          <w:p w14:paraId="7EF11E56" w14:textId="0B0BB68D" w:rsidR="007451B4" w:rsidRPr="00FA486E" w:rsidRDefault="007451B4" w:rsidP="007451B4">
            <w:pPr>
              <w:pStyle w:val="Compact"/>
              <w:rPr>
                <w:lang w:val="en-GB"/>
              </w:rPr>
            </w:pPr>
            <w:r w:rsidRPr="00CF1A8A">
              <w:t>0.27 (0.16 - 0.38)</w:t>
            </w:r>
          </w:p>
        </w:tc>
        <w:tc>
          <w:tcPr>
            <w:tcW w:w="1932" w:type="pct"/>
            <w:tcBorders>
              <w:top w:val="single" w:sz="4" w:space="0" w:color="auto"/>
            </w:tcBorders>
          </w:tcPr>
          <w:p w14:paraId="0325C4F4" w14:textId="5B66E43C" w:rsidR="007451B4" w:rsidRPr="00FA486E" w:rsidRDefault="007451B4" w:rsidP="007451B4">
            <w:pPr>
              <w:pStyle w:val="Compact"/>
              <w:rPr>
                <w:lang w:val="en-GB"/>
              </w:rPr>
            </w:pPr>
            <w:r w:rsidRPr="00CF1A8A">
              <w:t>0.51 (0.42 - 0.65)</w:t>
            </w:r>
          </w:p>
        </w:tc>
      </w:tr>
      <w:tr w:rsidR="007451B4" w:rsidRPr="00A405BD" w14:paraId="31DD5109" w14:textId="77777777" w:rsidTr="001312BF">
        <w:tc>
          <w:tcPr>
            <w:tcW w:w="1286" w:type="pct"/>
          </w:tcPr>
          <w:p w14:paraId="61C8EFD0" w14:textId="154EC7A9" w:rsidR="007451B4" w:rsidRPr="00FA486E" w:rsidRDefault="007451B4" w:rsidP="007451B4">
            <w:pPr>
              <w:pStyle w:val="Compact"/>
              <w:rPr>
                <w:lang w:val="en-GB"/>
              </w:rPr>
            </w:pPr>
            <w:r w:rsidRPr="00CF1A8A">
              <w:t>Undertriage</w:t>
            </w:r>
          </w:p>
        </w:tc>
        <w:tc>
          <w:tcPr>
            <w:tcW w:w="1782" w:type="pct"/>
          </w:tcPr>
          <w:p w14:paraId="74A4EF8D" w14:textId="0A4E6D86" w:rsidR="007451B4" w:rsidRPr="00FA486E" w:rsidRDefault="007451B4" w:rsidP="007451B4">
            <w:pPr>
              <w:pStyle w:val="Compact"/>
              <w:rPr>
                <w:lang w:val="en-GB"/>
              </w:rPr>
            </w:pPr>
            <w:r w:rsidRPr="00CF1A8A">
              <w:t>0.06 (0.05 - 0.08)</w:t>
            </w:r>
          </w:p>
        </w:tc>
        <w:tc>
          <w:tcPr>
            <w:tcW w:w="1932" w:type="pct"/>
          </w:tcPr>
          <w:p w14:paraId="7686F120" w14:textId="7DCC59F5" w:rsidR="007451B4" w:rsidRPr="00FA486E" w:rsidRDefault="007451B4" w:rsidP="007451B4">
            <w:pPr>
              <w:pStyle w:val="Compact"/>
              <w:rPr>
                <w:lang w:val="en-GB"/>
              </w:rPr>
            </w:pPr>
            <w:r w:rsidRPr="00CF1A8A">
              <w:t>0.04 (0.02 - 0.06)</w:t>
            </w:r>
          </w:p>
        </w:tc>
      </w:tr>
      <w:tr w:rsidR="007451B4" w:rsidRPr="00A405BD" w14:paraId="1B3BF19B" w14:textId="77777777" w:rsidTr="00FA486E">
        <w:tc>
          <w:tcPr>
            <w:tcW w:w="1286" w:type="pct"/>
          </w:tcPr>
          <w:p w14:paraId="127A9C37" w14:textId="23A4199F" w:rsidR="007451B4" w:rsidRPr="00FA486E" w:rsidRDefault="007451B4" w:rsidP="007451B4">
            <w:pPr>
              <w:pStyle w:val="Compact"/>
              <w:rPr>
                <w:lang w:val="en-GB"/>
              </w:rPr>
            </w:pPr>
            <w:r w:rsidRPr="00CF1A8A">
              <w:t>Overtriage</w:t>
            </w:r>
          </w:p>
        </w:tc>
        <w:tc>
          <w:tcPr>
            <w:tcW w:w="1782" w:type="pct"/>
          </w:tcPr>
          <w:p w14:paraId="04C7AA93" w14:textId="6977A7ED" w:rsidR="007451B4" w:rsidRPr="00FA486E" w:rsidRDefault="007451B4" w:rsidP="007451B4">
            <w:pPr>
              <w:pStyle w:val="Compact"/>
              <w:rPr>
                <w:lang w:val="en-GB"/>
              </w:rPr>
            </w:pPr>
            <w:r w:rsidRPr="00CF1A8A">
              <w:t>0.21 (0.08 - 0.32)</w:t>
            </w:r>
          </w:p>
        </w:tc>
        <w:tc>
          <w:tcPr>
            <w:tcW w:w="1932" w:type="pct"/>
          </w:tcPr>
          <w:p w14:paraId="7AE76C8A" w14:textId="2E720DA9" w:rsidR="007451B4" w:rsidRPr="00FA486E" w:rsidRDefault="007451B4" w:rsidP="007451B4">
            <w:pPr>
              <w:pStyle w:val="Compact"/>
              <w:rPr>
                <w:lang w:val="en-GB"/>
              </w:rPr>
            </w:pPr>
            <w:r w:rsidRPr="00CF1A8A">
              <w:t>0.47 (0.36 - 0.62)</w:t>
            </w:r>
          </w:p>
        </w:tc>
      </w:tr>
      <w:tr w:rsidR="00CC26A6" w14:paraId="6587811F" w14:textId="77777777" w:rsidTr="00FA486E">
        <w:tc>
          <w:tcPr>
            <w:tcW w:w="1286" w:type="pct"/>
            <w:tcBorders>
              <w:bottom w:val="single" w:sz="4" w:space="0" w:color="auto"/>
            </w:tcBorders>
            <w:vAlign w:val="bottom"/>
          </w:tcPr>
          <w:p w14:paraId="65B08A5E" w14:textId="77777777" w:rsidR="00161F40" w:rsidRPr="00FA486E" w:rsidRDefault="00161F40">
            <w:pPr>
              <w:pStyle w:val="Compact"/>
              <w:rPr>
                <w:lang w:val="en-GB"/>
              </w:rPr>
            </w:pPr>
          </w:p>
        </w:tc>
        <w:tc>
          <w:tcPr>
            <w:tcW w:w="1782" w:type="pct"/>
            <w:tcBorders>
              <w:bottom w:val="single" w:sz="4" w:space="0" w:color="auto"/>
            </w:tcBorders>
            <w:vAlign w:val="bottom"/>
          </w:tcPr>
          <w:p w14:paraId="40B927CB" w14:textId="77777777" w:rsidR="00161F40" w:rsidRPr="00FA486E" w:rsidRDefault="00C406B5">
            <w:pPr>
              <w:pStyle w:val="Compact"/>
              <w:rPr>
                <w:b/>
                <w:lang w:val="en-GB"/>
              </w:rPr>
            </w:pPr>
            <w:r w:rsidRPr="00FA486E">
              <w:rPr>
                <w:b/>
                <w:lang w:val="en-GB"/>
              </w:rPr>
              <w:t>Metropolitan</w:t>
            </w:r>
          </w:p>
        </w:tc>
        <w:tc>
          <w:tcPr>
            <w:tcW w:w="1932" w:type="pct"/>
            <w:tcBorders>
              <w:bottom w:val="single" w:sz="4" w:space="0" w:color="auto"/>
            </w:tcBorders>
            <w:vAlign w:val="bottom"/>
          </w:tcPr>
          <w:p w14:paraId="1A3862F3" w14:textId="77777777" w:rsidR="00161F40" w:rsidRPr="00FA486E" w:rsidRDefault="00C406B5">
            <w:pPr>
              <w:pStyle w:val="Compact"/>
              <w:rPr>
                <w:b/>
                <w:lang w:val="en-GB"/>
              </w:rPr>
            </w:pPr>
            <w:r w:rsidRPr="00FA486E">
              <w:rPr>
                <w:b/>
                <w:lang w:val="en-GB"/>
              </w:rPr>
              <w:t>Non-metropolitan</w:t>
            </w:r>
          </w:p>
        </w:tc>
      </w:tr>
      <w:tr w:rsidR="007451B4" w:rsidRPr="00A405BD" w14:paraId="3BB2AE25" w14:textId="77777777" w:rsidTr="00FA486E">
        <w:tc>
          <w:tcPr>
            <w:tcW w:w="1286" w:type="pct"/>
            <w:tcBorders>
              <w:top w:val="single" w:sz="4" w:space="0" w:color="auto"/>
            </w:tcBorders>
          </w:tcPr>
          <w:p w14:paraId="1F1E688D" w14:textId="6882C8B6" w:rsidR="007451B4" w:rsidRPr="00FA486E" w:rsidRDefault="007451B4" w:rsidP="007451B4">
            <w:pPr>
              <w:pStyle w:val="Compact"/>
              <w:rPr>
                <w:lang w:val="en-GB"/>
              </w:rPr>
            </w:pPr>
            <w:r w:rsidRPr="00203457">
              <w:t>Mistriage</w:t>
            </w:r>
          </w:p>
        </w:tc>
        <w:tc>
          <w:tcPr>
            <w:tcW w:w="1782" w:type="pct"/>
            <w:tcBorders>
              <w:top w:val="single" w:sz="4" w:space="0" w:color="auto"/>
            </w:tcBorders>
          </w:tcPr>
          <w:p w14:paraId="6C9D99A0" w14:textId="7C5AD06B" w:rsidR="007451B4" w:rsidRPr="00FA486E" w:rsidRDefault="007451B4" w:rsidP="007451B4">
            <w:pPr>
              <w:pStyle w:val="Compact"/>
              <w:rPr>
                <w:lang w:val="en-GB"/>
              </w:rPr>
            </w:pPr>
            <w:r w:rsidRPr="00203457">
              <w:t>0.34 (0.26 - 0.45)</w:t>
            </w:r>
          </w:p>
        </w:tc>
        <w:tc>
          <w:tcPr>
            <w:tcW w:w="1932" w:type="pct"/>
            <w:tcBorders>
              <w:top w:val="single" w:sz="4" w:space="0" w:color="auto"/>
            </w:tcBorders>
          </w:tcPr>
          <w:p w14:paraId="751B8463" w14:textId="42FAA510" w:rsidR="007451B4" w:rsidRPr="00FA486E" w:rsidRDefault="007451B4" w:rsidP="007451B4">
            <w:pPr>
              <w:pStyle w:val="Compact"/>
              <w:rPr>
                <w:lang w:val="en-GB"/>
              </w:rPr>
            </w:pPr>
            <w:r w:rsidRPr="00203457">
              <w:t>0.24 (0.21 - 0.44)</w:t>
            </w:r>
          </w:p>
        </w:tc>
      </w:tr>
      <w:tr w:rsidR="007451B4" w:rsidRPr="00A405BD" w14:paraId="03D45501" w14:textId="77777777" w:rsidTr="001312BF">
        <w:tc>
          <w:tcPr>
            <w:tcW w:w="1286" w:type="pct"/>
          </w:tcPr>
          <w:p w14:paraId="50CF95BC" w14:textId="249B2AF5" w:rsidR="007451B4" w:rsidRPr="00FA486E" w:rsidRDefault="007451B4" w:rsidP="007451B4">
            <w:pPr>
              <w:pStyle w:val="Compact"/>
              <w:rPr>
                <w:lang w:val="en-GB"/>
              </w:rPr>
            </w:pPr>
            <w:r w:rsidRPr="00203457">
              <w:t>Undertriage</w:t>
            </w:r>
          </w:p>
        </w:tc>
        <w:tc>
          <w:tcPr>
            <w:tcW w:w="1782" w:type="pct"/>
          </w:tcPr>
          <w:p w14:paraId="46B03466" w14:textId="6FCBD22A" w:rsidR="007451B4" w:rsidRPr="00FA486E" w:rsidRDefault="007451B4" w:rsidP="007451B4">
            <w:pPr>
              <w:pStyle w:val="Compact"/>
              <w:rPr>
                <w:lang w:val="en-GB"/>
              </w:rPr>
            </w:pPr>
            <w:r w:rsidRPr="00203457">
              <w:t>0.07 (0.05 - 0.09)</w:t>
            </w:r>
          </w:p>
        </w:tc>
        <w:tc>
          <w:tcPr>
            <w:tcW w:w="1932" w:type="pct"/>
          </w:tcPr>
          <w:p w14:paraId="70D7047E" w14:textId="794A9B4D" w:rsidR="007451B4" w:rsidRPr="00FA486E" w:rsidRDefault="007451B4" w:rsidP="007451B4">
            <w:pPr>
              <w:pStyle w:val="Compact"/>
              <w:rPr>
                <w:lang w:val="en-GB"/>
              </w:rPr>
            </w:pPr>
            <w:r w:rsidRPr="00203457">
              <w:t>0.05 (0.05 - 0.08)</w:t>
            </w:r>
          </w:p>
        </w:tc>
      </w:tr>
      <w:tr w:rsidR="007451B4" w:rsidRPr="00A405BD" w14:paraId="0BF3C669" w14:textId="77777777" w:rsidTr="00FA486E">
        <w:tc>
          <w:tcPr>
            <w:tcW w:w="1286" w:type="pct"/>
          </w:tcPr>
          <w:p w14:paraId="03CDCB54" w14:textId="3E34D787" w:rsidR="007451B4" w:rsidRPr="00FA486E" w:rsidRDefault="007451B4" w:rsidP="007451B4">
            <w:pPr>
              <w:pStyle w:val="Compact"/>
              <w:rPr>
                <w:lang w:val="en-GB"/>
              </w:rPr>
            </w:pPr>
            <w:r w:rsidRPr="00203457">
              <w:t>Overtriage</w:t>
            </w:r>
          </w:p>
        </w:tc>
        <w:tc>
          <w:tcPr>
            <w:tcW w:w="1782" w:type="pct"/>
          </w:tcPr>
          <w:p w14:paraId="08FDFF54" w14:textId="0C3D27F1" w:rsidR="007451B4" w:rsidRPr="00FA486E" w:rsidRDefault="007451B4" w:rsidP="007451B4">
            <w:pPr>
              <w:pStyle w:val="Compact"/>
              <w:rPr>
                <w:lang w:val="en-GB"/>
              </w:rPr>
            </w:pPr>
            <w:r w:rsidRPr="00203457">
              <w:t>0.27 (0.17 - 0.39)</w:t>
            </w:r>
          </w:p>
        </w:tc>
        <w:tc>
          <w:tcPr>
            <w:tcW w:w="1932" w:type="pct"/>
          </w:tcPr>
          <w:p w14:paraId="1338FAA2" w14:textId="2132107C" w:rsidR="007451B4" w:rsidRPr="00FA486E" w:rsidRDefault="007451B4" w:rsidP="007451B4">
            <w:pPr>
              <w:pStyle w:val="Compact"/>
              <w:rPr>
                <w:lang w:val="en-GB"/>
              </w:rPr>
            </w:pPr>
            <w:r w:rsidRPr="00203457">
              <w:t>0.20 (0.13 - 0.38)</w:t>
            </w:r>
          </w:p>
        </w:tc>
      </w:tr>
      <w:tr w:rsidR="00CC26A6" w14:paraId="0C232963" w14:textId="77777777" w:rsidTr="00FA486E">
        <w:tc>
          <w:tcPr>
            <w:tcW w:w="1286" w:type="pct"/>
            <w:tcBorders>
              <w:bottom w:val="single" w:sz="4" w:space="0" w:color="auto"/>
            </w:tcBorders>
            <w:vAlign w:val="bottom"/>
          </w:tcPr>
          <w:p w14:paraId="220F6E68" w14:textId="77777777" w:rsidR="00161F40" w:rsidRPr="00FA486E" w:rsidRDefault="00161F40">
            <w:pPr>
              <w:pStyle w:val="Compact"/>
              <w:rPr>
                <w:lang w:val="en-GB"/>
              </w:rPr>
            </w:pPr>
          </w:p>
        </w:tc>
        <w:tc>
          <w:tcPr>
            <w:tcW w:w="1782" w:type="pct"/>
            <w:tcBorders>
              <w:bottom w:val="single" w:sz="4" w:space="0" w:color="auto"/>
            </w:tcBorders>
            <w:vAlign w:val="bottom"/>
          </w:tcPr>
          <w:p w14:paraId="450B5177" w14:textId="12748586" w:rsidR="00161F40" w:rsidRPr="00FA486E" w:rsidRDefault="00C406B5">
            <w:pPr>
              <w:pStyle w:val="Compact"/>
              <w:rPr>
                <w:b/>
                <w:lang w:val="en-GB"/>
              </w:rPr>
            </w:pPr>
            <w:r w:rsidRPr="00FA486E">
              <w:rPr>
                <w:b/>
                <w:lang w:val="en-GB"/>
              </w:rPr>
              <w:t>Multicentre</w:t>
            </w:r>
          </w:p>
        </w:tc>
        <w:tc>
          <w:tcPr>
            <w:tcW w:w="1932" w:type="pct"/>
            <w:tcBorders>
              <w:bottom w:val="single" w:sz="4" w:space="0" w:color="auto"/>
            </w:tcBorders>
            <w:vAlign w:val="bottom"/>
          </w:tcPr>
          <w:p w14:paraId="5E411938" w14:textId="77777777" w:rsidR="00161F40" w:rsidRPr="00FA486E" w:rsidRDefault="00C406B5">
            <w:pPr>
              <w:pStyle w:val="Compact"/>
              <w:rPr>
                <w:b/>
                <w:lang w:val="en-GB"/>
              </w:rPr>
            </w:pPr>
            <w:r w:rsidRPr="00FA486E">
              <w:rPr>
                <w:b/>
                <w:lang w:val="en-GB"/>
              </w:rPr>
              <w:t>Single centre</w:t>
            </w:r>
          </w:p>
        </w:tc>
      </w:tr>
      <w:tr w:rsidR="007451B4" w:rsidRPr="00A405BD" w14:paraId="5AC0B385" w14:textId="77777777" w:rsidTr="00FA486E">
        <w:tc>
          <w:tcPr>
            <w:tcW w:w="1286" w:type="pct"/>
            <w:tcBorders>
              <w:top w:val="single" w:sz="4" w:space="0" w:color="auto"/>
            </w:tcBorders>
          </w:tcPr>
          <w:p w14:paraId="55A72929" w14:textId="1B332718" w:rsidR="007451B4" w:rsidRPr="00FA486E" w:rsidRDefault="007451B4" w:rsidP="007451B4">
            <w:pPr>
              <w:pStyle w:val="Compact"/>
              <w:rPr>
                <w:lang w:val="en-GB"/>
              </w:rPr>
            </w:pPr>
            <w:r w:rsidRPr="00740BDA">
              <w:t>Mistriage</w:t>
            </w:r>
          </w:p>
        </w:tc>
        <w:tc>
          <w:tcPr>
            <w:tcW w:w="1782" w:type="pct"/>
            <w:tcBorders>
              <w:top w:val="single" w:sz="4" w:space="0" w:color="auto"/>
            </w:tcBorders>
          </w:tcPr>
          <w:p w14:paraId="08E2F041" w14:textId="146F8D27" w:rsidR="007451B4" w:rsidRPr="00FA486E" w:rsidRDefault="007451B4" w:rsidP="007451B4">
            <w:pPr>
              <w:pStyle w:val="Compact"/>
              <w:rPr>
                <w:lang w:val="en-GB"/>
              </w:rPr>
            </w:pPr>
            <w:r w:rsidRPr="00740BDA">
              <w:t>0.31 (0.15 - 0.41)</w:t>
            </w:r>
          </w:p>
        </w:tc>
        <w:tc>
          <w:tcPr>
            <w:tcW w:w="1932" w:type="pct"/>
            <w:tcBorders>
              <w:top w:val="single" w:sz="4" w:space="0" w:color="auto"/>
            </w:tcBorders>
          </w:tcPr>
          <w:p w14:paraId="05279661" w14:textId="1686C4F2" w:rsidR="007451B4" w:rsidRPr="00FA486E" w:rsidRDefault="007451B4" w:rsidP="007451B4">
            <w:pPr>
              <w:pStyle w:val="Compact"/>
              <w:rPr>
                <w:lang w:val="en-GB"/>
              </w:rPr>
            </w:pPr>
            <w:r w:rsidRPr="00740BDA">
              <w:t>0.56 (0.44 - 0.63)</w:t>
            </w:r>
          </w:p>
        </w:tc>
      </w:tr>
      <w:tr w:rsidR="007451B4" w:rsidRPr="00A405BD" w14:paraId="20DB9BAE" w14:textId="77777777" w:rsidTr="001312BF">
        <w:tc>
          <w:tcPr>
            <w:tcW w:w="1286" w:type="pct"/>
          </w:tcPr>
          <w:p w14:paraId="2DB3DC92" w14:textId="4B3E3F18" w:rsidR="007451B4" w:rsidRPr="00FA486E" w:rsidRDefault="007451B4" w:rsidP="007451B4">
            <w:pPr>
              <w:pStyle w:val="Compact"/>
              <w:rPr>
                <w:lang w:val="en-GB"/>
              </w:rPr>
            </w:pPr>
            <w:r w:rsidRPr="00740BDA">
              <w:t>Undertriage</w:t>
            </w:r>
          </w:p>
        </w:tc>
        <w:tc>
          <w:tcPr>
            <w:tcW w:w="1782" w:type="pct"/>
          </w:tcPr>
          <w:p w14:paraId="68218C0D" w14:textId="2E076AFD" w:rsidR="007451B4" w:rsidRPr="00FA486E" w:rsidRDefault="007451B4" w:rsidP="007451B4">
            <w:pPr>
              <w:pStyle w:val="Compact"/>
              <w:rPr>
                <w:lang w:val="en-GB"/>
              </w:rPr>
            </w:pPr>
            <w:r w:rsidRPr="00740BDA">
              <w:t>0.07 (0.03 - 0.07)</w:t>
            </w:r>
          </w:p>
        </w:tc>
        <w:tc>
          <w:tcPr>
            <w:tcW w:w="1932" w:type="pct"/>
          </w:tcPr>
          <w:p w14:paraId="6A06C5B5" w14:textId="6DA03BA2" w:rsidR="007451B4" w:rsidRPr="00FA486E" w:rsidRDefault="007451B4" w:rsidP="007451B4">
            <w:pPr>
              <w:pStyle w:val="Compact"/>
              <w:rPr>
                <w:lang w:val="en-GB"/>
              </w:rPr>
            </w:pPr>
            <w:r w:rsidRPr="00740BDA">
              <w:t>0.04 (0.03 - 0.07)</w:t>
            </w:r>
          </w:p>
        </w:tc>
      </w:tr>
      <w:tr w:rsidR="007451B4" w:rsidRPr="00A405BD" w14:paraId="0E936CED" w14:textId="77777777" w:rsidTr="001312BF">
        <w:tc>
          <w:tcPr>
            <w:tcW w:w="1286" w:type="pct"/>
          </w:tcPr>
          <w:p w14:paraId="23F01D68" w14:textId="371C99E2" w:rsidR="007451B4" w:rsidRPr="00FA486E" w:rsidRDefault="007451B4" w:rsidP="007451B4">
            <w:pPr>
              <w:pStyle w:val="Compact"/>
              <w:rPr>
                <w:lang w:val="en-GB"/>
              </w:rPr>
            </w:pPr>
            <w:r w:rsidRPr="00740BDA">
              <w:t>Overtriage</w:t>
            </w:r>
          </w:p>
        </w:tc>
        <w:tc>
          <w:tcPr>
            <w:tcW w:w="1782" w:type="pct"/>
          </w:tcPr>
          <w:p w14:paraId="4DA4E54A" w14:textId="5F483975" w:rsidR="007451B4" w:rsidRPr="00FA486E" w:rsidRDefault="007451B4" w:rsidP="007451B4">
            <w:pPr>
              <w:pStyle w:val="Compact"/>
              <w:rPr>
                <w:lang w:val="en-GB"/>
              </w:rPr>
            </w:pPr>
            <w:r w:rsidRPr="00740BDA">
              <w:t>0.24 (0.08 - 0.37)</w:t>
            </w:r>
          </w:p>
        </w:tc>
        <w:tc>
          <w:tcPr>
            <w:tcW w:w="1932" w:type="pct"/>
          </w:tcPr>
          <w:p w14:paraId="49FD1ECD" w14:textId="70D12CD8" w:rsidR="007451B4" w:rsidRPr="00FA486E" w:rsidRDefault="007451B4" w:rsidP="007451B4">
            <w:pPr>
              <w:pStyle w:val="Compact"/>
              <w:rPr>
                <w:lang w:val="en-GB"/>
              </w:rPr>
            </w:pPr>
            <w:r w:rsidRPr="00740BDA">
              <w:t>0.52 (0.37 - 0.60)</w:t>
            </w:r>
          </w:p>
        </w:tc>
      </w:tr>
    </w:tbl>
    <w:p w14:paraId="48C67A64" w14:textId="77777777" w:rsidR="00161F40" w:rsidRPr="00FA486E" w:rsidRDefault="00C406B5" w:rsidP="00D0566F">
      <w:pPr>
        <w:pStyle w:val="Rubrik2"/>
        <w:spacing w:line="360" w:lineRule="auto"/>
        <w:rPr>
          <w:lang w:val="en-GB"/>
        </w:rPr>
      </w:pPr>
      <w:r w:rsidRPr="00FA486E">
        <w:rPr>
          <w:lang w:val="en-GB"/>
        </w:rPr>
        <w:t>Comparison</w:t>
      </w:r>
    </w:p>
    <w:p w14:paraId="49AD7658" w14:textId="615B631A" w:rsidR="001312BF" w:rsidRPr="00FA486E" w:rsidRDefault="00C406B5" w:rsidP="00FA486E">
      <w:pPr>
        <w:pStyle w:val="FirstParagraph"/>
        <w:spacing w:line="360" w:lineRule="auto"/>
        <w:rPr>
          <w:lang w:val="en-GB"/>
        </w:rPr>
      </w:pPr>
      <w:r w:rsidRPr="00FA486E">
        <w:rPr>
          <w:lang w:val="en-GB"/>
        </w:rPr>
        <w:t xml:space="preserve">Model performance after transfer was determined for each model after being transferred to the validation sample in the other </w:t>
      </w:r>
      <w:r w:rsidR="004713FF">
        <w:rPr>
          <w:lang w:val="en-GB"/>
        </w:rPr>
        <w:t>dataset</w:t>
      </w:r>
      <w:r w:rsidRPr="00FA486E">
        <w:rPr>
          <w:lang w:val="en-GB"/>
        </w:rPr>
        <w:t>, in the dataset</w:t>
      </w:r>
      <w:r w:rsidR="00972842">
        <w:rPr>
          <w:lang w:val="en-GB"/>
        </w:rPr>
        <w:t xml:space="preserve"> group</w:t>
      </w:r>
      <w:r w:rsidRPr="00FA486E">
        <w:rPr>
          <w:lang w:val="en-GB"/>
        </w:rPr>
        <w:t xml:space="preserve"> (Table 3). </w:t>
      </w:r>
    </w:p>
    <w:p w14:paraId="7AC556F0" w14:textId="77777777" w:rsidR="00E601F6" w:rsidRDefault="00E601F6">
      <w:pPr>
        <w:rPr>
          <w:rFonts w:ascii="Times New Roman" w:hAnsi="Times New Roman"/>
          <w:b/>
          <w:lang w:val="en-GB"/>
        </w:rPr>
      </w:pPr>
      <w:r>
        <w:rPr>
          <w:b/>
          <w:lang w:val="en-GB"/>
        </w:rPr>
        <w:br w:type="page"/>
      </w:r>
    </w:p>
    <w:p w14:paraId="1EA1D7ED" w14:textId="317B183A" w:rsidR="00161F40" w:rsidRPr="00FA486E" w:rsidRDefault="00C406B5" w:rsidP="001312BF">
      <w:pPr>
        <w:pStyle w:val="Brdtext"/>
        <w:spacing w:line="240" w:lineRule="auto"/>
        <w:rPr>
          <w:lang w:val="en-GB"/>
        </w:rPr>
      </w:pPr>
      <w:r w:rsidRPr="00FA486E">
        <w:rPr>
          <w:b/>
          <w:lang w:val="en-GB"/>
        </w:rPr>
        <w:lastRenderedPageBreak/>
        <w:t xml:space="preserve">Table 3. Model transfer performance, i.e. performance when </w:t>
      </w:r>
      <w:r w:rsidR="00420309">
        <w:rPr>
          <w:b/>
          <w:lang w:val="en-GB"/>
        </w:rPr>
        <w:t>the model was applied</w:t>
      </w:r>
      <w:r w:rsidRPr="00FA486E">
        <w:rPr>
          <w:b/>
          <w:lang w:val="en-GB"/>
        </w:rPr>
        <w:t xml:space="preserve"> to the other validation sample in the dataset</w:t>
      </w:r>
      <w:r w:rsidR="004713FF">
        <w:rPr>
          <w:b/>
          <w:lang w:val="en-GB"/>
        </w:rPr>
        <w:t xml:space="preserve"> group</w:t>
      </w:r>
      <w:r w:rsidRPr="00FA486E">
        <w:rPr>
          <w:b/>
          <w:lang w:val="en-GB"/>
        </w:rPr>
        <w:t>.</w:t>
      </w:r>
      <w:r w:rsidRPr="00FA486E">
        <w:rPr>
          <w:lang w:val="en-GB"/>
        </w:rPr>
        <w:t xml:space="preserve"> Data are presented as point estimates with 95% </w:t>
      </w:r>
      <w:r w:rsidR="00420309">
        <w:rPr>
          <w:lang w:val="en-GB"/>
        </w:rPr>
        <w:t>confidence</w:t>
      </w:r>
      <w:r w:rsidRPr="00FA486E">
        <w:rPr>
          <w:lang w:val="en-GB"/>
        </w:rPr>
        <w:t xml:space="preserve"> intervals.</w:t>
      </w:r>
    </w:p>
    <w:tbl>
      <w:tblPr>
        <w:tblW w:w="5000" w:type="pct"/>
        <w:tblLook w:val="07E0" w:firstRow="1" w:lastRow="1" w:firstColumn="1" w:lastColumn="1" w:noHBand="1" w:noVBand="1"/>
      </w:tblPr>
      <w:tblGrid>
        <w:gridCol w:w="2420"/>
        <w:gridCol w:w="3352"/>
        <w:gridCol w:w="3634"/>
      </w:tblGrid>
      <w:tr w:rsidR="00CC26A6" w14:paraId="1C18B076" w14:textId="77777777" w:rsidTr="00FA486E">
        <w:tc>
          <w:tcPr>
            <w:tcW w:w="1286" w:type="pct"/>
            <w:tcBorders>
              <w:bottom w:val="single" w:sz="4" w:space="0" w:color="auto"/>
            </w:tcBorders>
            <w:vAlign w:val="bottom"/>
          </w:tcPr>
          <w:p w14:paraId="41E568C1" w14:textId="77777777" w:rsidR="00161F40" w:rsidRPr="00FA486E" w:rsidRDefault="00161F40">
            <w:pPr>
              <w:pStyle w:val="Compact"/>
              <w:rPr>
                <w:lang w:val="en-GB"/>
              </w:rPr>
            </w:pPr>
          </w:p>
        </w:tc>
        <w:tc>
          <w:tcPr>
            <w:tcW w:w="1782" w:type="pct"/>
            <w:tcBorders>
              <w:bottom w:val="single" w:sz="4" w:space="0" w:color="auto"/>
            </w:tcBorders>
            <w:vAlign w:val="bottom"/>
          </w:tcPr>
          <w:p w14:paraId="18F07CCC" w14:textId="1C5DAC6D" w:rsidR="00161F40" w:rsidRPr="00FA486E" w:rsidRDefault="00C406B5">
            <w:pPr>
              <w:pStyle w:val="Compact"/>
              <w:rPr>
                <w:b/>
                <w:lang w:val="en-GB"/>
              </w:rPr>
            </w:pPr>
            <w:r w:rsidRPr="00FA486E">
              <w:rPr>
                <w:b/>
                <w:lang w:val="en-GB"/>
              </w:rPr>
              <w:t>High-volume</w:t>
            </w:r>
            <w:r w:rsidR="00DB6ACF" w:rsidRPr="00DB6ACF">
              <w:rPr>
                <w:b/>
                <w:lang w:val="en-GB"/>
              </w:rPr>
              <w:t xml:space="preserve"> model in low-volume </w:t>
            </w:r>
            <w:r w:rsidR="004713FF">
              <w:rPr>
                <w:b/>
                <w:lang w:val="en-GB"/>
              </w:rPr>
              <w:t xml:space="preserve">validation </w:t>
            </w:r>
            <w:r w:rsidR="00DB6ACF" w:rsidRPr="00DB6ACF">
              <w:rPr>
                <w:b/>
                <w:lang w:val="en-GB"/>
              </w:rPr>
              <w:t>sample</w:t>
            </w:r>
          </w:p>
        </w:tc>
        <w:tc>
          <w:tcPr>
            <w:tcW w:w="1932" w:type="pct"/>
            <w:tcBorders>
              <w:bottom w:val="single" w:sz="4" w:space="0" w:color="auto"/>
            </w:tcBorders>
            <w:vAlign w:val="bottom"/>
          </w:tcPr>
          <w:p w14:paraId="5CF058ED" w14:textId="67A7AEA1" w:rsidR="00161F40" w:rsidRPr="00FA486E" w:rsidRDefault="00C406B5">
            <w:pPr>
              <w:pStyle w:val="Compact"/>
              <w:rPr>
                <w:b/>
                <w:lang w:val="en-GB"/>
              </w:rPr>
            </w:pPr>
            <w:r w:rsidRPr="00FA486E">
              <w:rPr>
                <w:b/>
                <w:lang w:val="en-GB"/>
              </w:rPr>
              <w:t>Low-volume</w:t>
            </w:r>
            <w:r w:rsidR="00DB6ACF" w:rsidRPr="00DB6ACF">
              <w:rPr>
                <w:b/>
                <w:lang w:val="en-GB"/>
              </w:rPr>
              <w:t xml:space="preserve"> model in high-volume </w:t>
            </w:r>
            <w:r w:rsidR="004713FF">
              <w:rPr>
                <w:b/>
                <w:lang w:val="en-GB"/>
              </w:rPr>
              <w:t xml:space="preserve">validation </w:t>
            </w:r>
            <w:r w:rsidR="004713FF" w:rsidRPr="00DB6ACF">
              <w:rPr>
                <w:b/>
                <w:lang w:val="en-GB"/>
              </w:rPr>
              <w:t>sample</w:t>
            </w:r>
          </w:p>
        </w:tc>
      </w:tr>
      <w:tr w:rsidR="007451B4" w:rsidRPr="00A405BD" w14:paraId="24DB41C8" w14:textId="77777777" w:rsidTr="00FA486E">
        <w:tc>
          <w:tcPr>
            <w:tcW w:w="1286" w:type="pct"/>
            <w:tcBorders>
              <w:top w:val="single" w:sz="4" w:space="0" w:color="auto"/>
            </w:tcBorders>
          </w:tcPr>
          <w:p w14:paraId="3E9EE2EF" w14:textId="5A5D2FE0" w:rsidR="007451B4" w:rsidRPr="00FA486E" w:rsidRDefault="007451B4" w:rsidP="007451B4">
            <w:pPr>
              <w:pStyle w:val="Compact"/>
              <w:rPr>
                <w:lang w:val="en-GB"/>
              </w:rPr>
            </w:pPr>
            <w:r w:rsidRPr="0084745C">
              <w:t>Mistriage</w:t>
            </w:r>
          </w:p>
        </w:tc>
        <w:tc>
          <w:tcPr>
            <w:tcW w:w="1782" w:type="pct"/>
            <w:tcBorders>
              <w:top w:val="single" w:sz="4" w:space="0" w:color="auto"/>
            </w:tcBorders>
          </w:tcPr>
          <w:p w14:paraId="7074B766" w14:textId="4402972A" w:rsidR="007451B4" w:rsidRPr="00FA486E" w:rsidRDefault="007451B4" w:rsidP="007451B4">
            <w:pPr>
              <w:pStyle w:val="Compact"/>
              <w:rPr>
                <w:lang w:val="en-GB"/>
              </w:rPr>
            </w:pPr>
            <w:r w:rsidRPr="0084745C">
              <w:t>0.31 (0.22 - 0.40)</w:t>
            </w:r>
          </w:p>
        </w:tc>
        <w:tc>
          <w:tcPr>
            <w:tcW w:w="1932" w:type="pct"/>
            <w:tcBorders>
              <w:top w:val="single" w:sz="4" w:space="0" w:color="auto"/>
            </w:tcBorders>
          </w:tcPr>
          <w:p w14:paraId="48ACB652" w14:textId="326E0A97" w:rsidR="007451B4" w:rsidRPr="00FA486E" w:rsidRDefault="007451B4" w:rsidP="007451B4">
            <w:pPr>
              <w:pStyle w:val="Compact"/>
              <w:rPr>
                <w:lang w:val="en-GB"/>
              </w:rPr>
            </w:pPr>
            <w:r w:rsidRPr="0084745C">
              <w:t>0.52 (0.39 - 0.72)</w:t>
            </w:r>
          </w:p>
        </w:tc>
      </w:tr>
      <w:tr w:rsidR="007451B4" w:rsidRPr="00A405BD" w14:paraId="189E58E1" w14:textId="77777777" w:rsidTr="001312BF">
        <w:tc>
          <w:tcPr>
            <w:tcW w:w="1286" w:type="pct"/>
          </w:tcPr>
          <w:p w14:paraId="0A774EE8" w14:textId="4298FEA6" w:rsidR="007451B4" w:rsidRPr="00FA486E" w:rsidRDefault="007451B4" w:rsidP="007451B4">
            <w:pPr>
              <w:pStyle w:val="Compact"/>
              <w:rPr>
                <w:lang w:val="en-GB"/>
              </w:rPr>
            </w:pPr>
            <w:r w:rsidRPr="0084745C">
              <w:t>Undertriage</w:t>
            </w:r>
          </w:p>
        </w:tc>
        <w:tc>
          <w:tcPr>
            <w:tcW w:w="1782" w:type="pct"/>
          </w:tcPr>
          <w:p w14:paraId="1E1AC511" w14:textId="026DFE33" w:rsidR="007451B4" w:rsidRPr="00FA486E" w:rsidRDefault="007451B4" w:rsidP="007451B4">
            <w:pPr>
              <w:pStyle w:val="Compact"/>
              <w:rPr>
                <w:lang w:val="en-GB"/>
              </w:rPr>
            </w:pPr>
            <w:r w:rsidRPr="0084745C">
              <w:t>0.07 (0.05 - 0.10)</w:t>
            </w:r>
          </w:p>
        </w:tc>
        <w:tc>
          <w:tcPr>
            <w:tcW w:w="1932" w:type="pct"/>
          </w:tcPr>
          <w:p w14:paraId="0406EC27" w14:textId="50BDA07A" w:rsidR="007451B4" w:rsidRPr="00FA486E" w:rsidRDefault="007451B4" w:rsidP="007451B4">
            <w:pPr>
              <w:pStyle w:val="Compact"/>
              <w:rPr>
                <w:lang w:val="en-GB"/>
              </w:rPr>
            </w:pPr>
            <w:r w:rsidRPr="0084745C">
              <w:t>0.03 (0.02 - 0.05)</w:t>
            </w:r>
          </w:p>
        </w:tc>
      </w:tr>
      <w:tr w:rsidR="007451B4" w:rsidRPr="00A405BD" w14:paraId="1C01AE47" w14:textId="77777777" w:rsidTr="00FA486E">
        <w:tc>
          <w:tcPr>
            <w:tcW w:w="1286" w:type="pct"/>
          </w:tcPr>
          <w:p w14:paraId="0DC478DF" w14:textId="15C239C6" w:rsidR="007451B4" w:rsidRPr="00FA486E" w:rsidRDefault="007451B4" w:rsidP="007451B4">
            <w:pPr>
              <w:pStyle w:val="Compact"/>
              <w:rPr>
                <w:lang w:val="en-GB"/>
              </w:rPr>
            </w:pPr>
            <w:r w:rsidRPr="0084745C">
              <w:t>Overtriage</w:t>
            </w:r>
          </w:p>
        </w:tc>
        <w:tc>
          <w:tcPr>
            <w:tcW w:w="1782" w:type="pct"/>
          </w:tcPr>
          <w:p w14:paraId="455DC147" w14:textId="572F160E" w:rsidR="007451B4" w:rsidRPr="00FA486E" w:rsidRDefault="007451B4" w:rsidP="007451B4">
            <w:pPr>
              <w:pStyle w:val="Compact"/>
              <w:rPr>
                <w:lang w:val="en-GB"/>
              </w:rPr>
            </w:pPr>
            <w:r w:rsidRPr="0084745C">
              <w:t>0.24 (0.13 - 0.34)</w:t>
            </w:r>
          </w:p>
        </w:tc>
        <w:tc>
          <w:tcPr>
            <w:tcW w:w="1932" w:type="pct"/>
          </w:tcPr>
          <w:p w14:paraId="38CC9876" w14:textId="446DE89C" w:rsidR="007451B4" w:rsidRPr="00FA486E" w:rsidRDefault="007451B4" w:rsidP="007451B4">
            <w:pPr>
              <w:pStyle w:val="Compact"/>
              <w:rPr>
                <w:lang w:val="en-GB"/>
              </w:rPr>
            </w:pPr>
            <w:r w:rsidRPr="0084745C">
              <w:t>0.48 (0.34 - 0.70)</w:t>
            </w:r>
          </w:p>
        </w:tc>
      </w:tr>
      <w:tr w:rsidR="00CC26A6" w:rsidRPr="00DB6ACF" w14:paraId="131B5376" w14:textId="77777777" w:rsidTr="00FA486E">
        <w:tc>
          <w:tcPr>
            <w:tcW w:w="1286" w:type="pct"/>
            <w:tcBorders>
              <w:bottom w:val="single" w:sz="4" w:space="0" w:color="auto"/>
            </w:tcBorders>
            <w:vAlign w:val="bottom"/>
          </w:tcPr>
          <w:p w14:paraId="0787913E" w14:textId="77777777" w:rsidR="00161F40" w:rsidRPr="00FA486E" w:rsidRDefault="00161F40">
            <w:pPr>
              <w:pStyle w:val="Compact"/>
              <w:rPr>
                <w:lang w:val="en-GB"/>
              </w:rPr>
            </w:pPr>
          </w:p>
        </w:tc>
        <w:tc>
          <w:tcPr>
            <w:tcW w:w="1782" w:type="pct"/>
            <w:tcBorders>
              <w:bottom w:val="single" w:sz="4" w:space="0" w:color="auto"/>
            </w:tcBorders>
            <w:vAlign w:val="bottom"/>
          </w:tcPr>
          <w:p w14:paraId="76DBBAE2" w14:textId="4F1F10BE" w:rsidR="00161F40" w:rsidRPr="00FA486E" w:rsidRDefault="00C406B5">
            <w:pPr>
              <w:pStyle w:val="Compact"/>
              <w:rPr>
                <w:b/>
                <w:lang w:val="en-GB"/>
              </w:rPr>
            </w:pPr>
            <w:r w:rsidRPr="00FA486E">
              <w:rPr>
                <w:b/>
                <w:lang w:val="en-GB"/>
              </w:rPr>
              <w:t>Metropolitan</w:t>
            </w:r>
            <w:r w:rsidR="00DB6ACF" w:rsidRPr="00DB6ACF">
              <w:rPr>
                <w:b/>
                <w:lang w:val="en-GB"/>
              </w:rPr>
              <w:t xml:space="preserve"> model in non-metropolitan </w:t>
            </w:r>
            <w:r w:rsidR="004713FF">
              <w:rPr>
                <w:b/>
                <w:lang w:val="en-GB"/>
              </w:rPr>
              <w:t xml:space="preserve">validation </w:t>
            </w:r>
            <w:r w:rsidR="004713FF" w:rsidRPr="00DB6ACF">
              <w:rPr>
                <w:b/>
                <w:lang w:val="en-GB"/>
              </w:rPr>
              <w:t>sample</w:t>
            </w:r>
          </w:p>
        </w:tc>
        <w:tc>
          <w:tcPr>
            <w:tcW w:w="1932" w:type="pct"/>
            <w:tcBorders>
              <w:bottom w:val="single" w:sz="4" w:space="0" w:color="auto"/>
            </w:tcBorders>
            <w:vAlign w:val="bottom"/>
          </w:tcPr>
          <w:p w14:paraId="669D5541" w14:textId="47817420" w:rsidR="00161F40" w:rsidRPr="00FA486E" w:rsidRDefault="00C406B5">
            <w:pPr>
              <w:pStyle w:val="Compact"/>
              <w:rPr>
                <w:b/>
                <w:lang w:val="en-GB"/>
              </w:rPr>
            </w:pPr>
            <w:r w:rsidRPr="00FA486E">
              <w:rPr>
                <w:b/>
                <w:lang w:val="en-GB"/>
              </w:rPr>
              <w:t>Non-</w:t>
            </w:r>
            <w:r w:rsidR="00DB6ACF" w:rsidRPr="00FA486E">
              <w:rPr>
                <w:b/>
                <w:lang w:val="en-GB"/>
              </w:rPr>
              <w:t>metropolitan</w:t>
            </w:r>
            <w:r w:rsidR="00DB6ACF" w:rsidRPr="00DB6ACF">
              <w:rPr>
                <w:b/>
                <w:lang w:val="en-GB"/>
              </w:rPr>
              <w:t xml:space="preserve"> model in </w:t>
            </w:r>
            <w:r w:rsidR="00DB6ACF" w:rsidRPr="00FA486E">
              <w:rPr>
                <w:b/>
                <w:lang w:val="en-GB"/>
              </w:rPr>
              <w:t>metropolitan</w:t>
            </w:r>
            <w:r w:rsidR="00DB6ACF" w:rsidRPr="00DB6ACF">
              <w:rPr>
                <w:b/>
                <w:lang w:val="en-GB"/>
              </w:rPr>
              <w:t xml:space="preserve"> </w:t>
            </w:r>
            <w:r w:rsidR="004713FF">
              <w:rPr>
                <w:b/>
                <w:lang w:val="en-GB"/>
              </w:rPr>
              <w:t xml:space="preserve">validation </w:t>
            </w:r>
            <w:r w:rsidR="004713FF" w:rsidRPr="00DB6ACF">
              <w:rPr>
                <w:b/>
                <w:lang w:val="en-GB"/>
              </w:rPr>
              <w:t>sample</w:t>
            </w:r>
          </w:p>
        </w:tc>
      </w:tr>
      <w:tr w:rsidR="007451B4" w:rsidRPr="00A405BD" w14:paraId="13AA6A9A" w14:textId="77777777" w:rsidTr="00FA486E">
        <w:tc>
          <w:tcPr>
            <w:tcW w:w="1286" w:type="pct"/>
            <w:tcBorders>
              <w:top w:val="single" w:sz="4" w:space="0" w:color="auto"/>
            </w:tcBorders>
          </w:tcPr>
          <w:p w14:paraId="7247BD53" w14:textId="4C50C618" w:rsidR="007451B4" w:rsidRPr="00FA486E" w:rsidRDefault="007451B4" w:rsidP="007451B4">
            <w:pPr>
              <w:pStyle w:val="Compact"/>
              <w:rPr>
                <w:lang w:val="en-GB"/>
              </w:rPr>
            </w:pPr>
            <w:r w:rsidRPr="00861B75">
              <w:t>Mistriage</w:t>
            </w:r>
          </w:p>
        </w:tc>
        <w:tc>
          <w:tcPr>
            <w:tcW w:w="1782" w:type="pct"/>
            <w:tcBorders>
              <w:top w:val="single" w:sz="4" w:space="0" w:color="auto"/>
            </w:tcBorders>
          </w:tcPr>
          <w:p w14:paraId="453717B5" w14:textId="51CC51B9" w:rsidR="007451B4" w:rsidRPr="00FA486E" w:rsidRDefault="007451B4" w:rsidP="007451B4">
            <w:pPr>
              <w:pStyle w:val="Compact"/>
              <w:rPr>
                <w:lang w:val="en-GB"/>
              </w:rPr>
            </w:pPr>
            <w:r w:rsidRPr="00861B75">
              <w:t>0.37 (0.25 - 0.51)</w:t>
            </w:r>
          </w:p>
        </w:tc>
        <w:tc>
          <w:tcPr>
            <w:tcW w:w="1932" w:type="pct"/>
            <w:tcBorders>
              <w:top w:val="single" w:sz="4" w:space="0" w:color="auto"/>
            </w:tcBorders>
          </w:tcPr>
          <w:p w14:paraId="6D954CA6" w14:textId="2667F93B" w:rsidR="007451B4" w:rsidRPr="00FA486E" w:rsidRDefault="007451B4" w:rsidP="007451B4">
            <w:pPr>
              <w:pStyle w:val="Compact"/>
              <w:rPr>
                <w:lang w:val="en-GB"/>
              </w:rPr>
            </w:pPr>
            <w:r w:rsidRPr="00861B75">
              <w:t>0.26 (0.24 - 0.40)</w:t>
            </w:r>
          </w:p>
        </w:tc>
      </w:tr>
      <w:tr w:rsidR="007451B4" w:rsidRPr="00A405BD" w14:paraId="17B331A5" w14:textId="77777777" w:rsidTr="001312BF">
        <w:tc>
          <w:tcPr>
            <w:tcW w:w="1286" w:type="pct"/>
          </w:tcPr>
          <w:p w14:paraId="0BC857D0" w14:textId="7DD109CC" w:rsidR="007451B4" w:rsidRPr="00FA486E" w:rsidRDefault="007451B4" w:rsidP="007451B4">
            <w:pPr>
              <w:pStyle w:val="Compact"/>
              <w:rPr>
                <w:lang w:val="en-GB"/>
              </w:rPr>
            </w:pPr>
            <w:r w:rsidRPr="00861B75">
              <w:t>Undertriage</w:t>
            </w:r>
          </w:p>
        </w:tc>
        <w:tc>
          <w:tcPr>
            <w:tcW w:w="1782" w:type="pct"/>
          </w:tcPr>
          <w:p w14:paraId="1FDD6D14" w14:textId="5771CE3F" w:rsidR="007451B4" w:rsidRPr="00FA486E" w:rsidRDefault="007451B4" w:rsidP="007451B4">
            <w:pPr>
              <w:pStyle w:val="Compact"/>
              <w:rPr>
                <w:lang w:val="en-GB"/>
              </w:rPr>
            </w:pPr>
            <w:r w:rsidRPr="00861B75">
              <w:t>0.03 (0.03 - 0.05)</w:t>
            </w:r>
          </w:p>
        </w:tc>
        <w:tc>
          <w:tcPr>
            <w:tcW w:w="1932" w:type="pct"/>
          </w:tcPr>
          <w:p w14:paraId="0CAE59AE" w14:textId="44021988" w:rsidR="007451B4" w:rsidRPr="00FA486E" w:rsidRDefault="007451B4" w:rsidP="007451B4">
            <w:pPr>
              <w:pStyle w:val="Compact"/>
              <w:rPr>
                <w:lang w:val="en-GB"/>
              </w:rPr>
            </w:pPr>
            <w:r w:rsidRPr="00861B75">
              <w:t>0.09 (0.06 - 0.11)</w:t>
            </w:r>
          </w:p>
        </w:tc>
      </w:tr>
      <w:tr w:rsidR="007451B4" w:rsidRPr="00A405BD" w14:paraId="6DC83893" w14:textId="77777777" w:rsidTr="00FA486E">
        <w:tc>
          <w:tcPr>
            <w:tcW w:w="1286" w:type="pct"/>
          </w:tcPr>
          <w:p w14:paraId="50843AB7" w14:textId="1F9A5DA9" w:rsidR="007451B4" w:rsidRPr="00FA486E" w:rsidRDefault="007451B4" w:rsidP="007451B4">
            <w:pPr>
              <w:pStyle w:val="Compact"/>
              <w:rPr>
                <w:lang w:val="en-GB"/>
              </w:rPr>
            </w:pPr>
            <w:r w:rsidRPr="00861B75">
              <w:t>Overtriage</w:t>
            </w:r>
          </w:p>
        </w:tc>
        <w:tc>
          <w:tcPr>
            <w:tcW w:w="1782" w:type="pct"/>
          </w:tcPr>
          <w:p w14:paraId="7BCD6C06" w14:textId="0007DB6A" w:rsidR="007451B4" w:rsidRPr="00FA486E" w:rsidRDefault="007451B4" w:rsidP="007451B4">
            <w:pPr>
              <w:pStyle w:val="Compact"/>
              <w:rPr>
                <w:lang w:val="en-GB"/>
              </w:rPr>
            </w:pPr>
            <w:r w:rsidRPr="00861B75">
              <w:t>0.33 (0.20 - 0.47)</w:t>
            </w:r>
          </w:p>
        </w:tc>
        <w:tc>
          <w:tcPr>
            <w:tcW w:w="1932" w:type="pct"/>
          </w:tcPr>
          <w:p w14:paraId="12B61174" w14:textId="692B1920" w:rsidR="007451B4" w:rsidRPr="00FA486E" w:rsidRDefault="007451B4" w:rsidP="007451B4">
            <w:pPr>
              <w:pStyle w:val="Compact"/>
              <w:rPr>
                <w:lang w:val="en-GB"/>
              </w:rPr>
            </w:pPr>
            <w:r w:rsidRPr="00861B75">
              <w:t>0.17 (0.14 - 0.34)</w:t>
            </w:r>
          </w:p>
        </w:tc>
      </w:tr>
      <w:tr w:rsidR="00CC26A6" w14:paraId="10DB0D1C" w14:textId="77777777" w:rsidTr="00FA486E">
        <w:tc>
          <w:tcPr>
            <w:tcW w:w="1286" w:type="pct"/>
            <w:tcBorders>
              <w:bottom w:val="single" w:sz="4" w:space="0" w:color="auto"/>
            </w:tcBorders>
            <w:vAlign w:val="bottom"/>
          </w:tcPr>
          <w:p w14:paraId="352F4A67" w14:textId="77777777" w:rsidR="00161F40" w:rsidRPr="00FA486E" w:rsidRDefault="00161F40">
            <w:pPr>
              <w:pStyle w:val="Compact"/>
              <w:rPr>
                <w:lang w:val="en-GB"/>
              </w:rPr>
            </w:pPr>
          </w:p>
        </w:tc>
        <w:tc>
          <w:tcPr>
            <w:tcW w:w="1782" w:type="pct"/>
            <w:tcBorders>
              <w:bottom w:val="single" w:sz="4" w:space="0" w:color="auto"/>
            </w:tcBorders>
            <w:vAlign w:val="bottom"/>
          </w:tcPr>
          <w:p w14:paraId="72461394" w14:textId="1D84740C" w:rsidR="00161F40" w:rsidRPr="00FA486E" w:rsidRDefault="00C406B5">
            <w:pPr>
              <w:pStyle w:val="Compact"/>
              <w:rPr>
                <w:b/>
                <w:lang w:val="en-GB"/>
              </w:rPr>
            </w:pPr>
            <w:r w:rsidRPr="00FA486E">
              <w:rPr>
                <w:b/>
                <w:lang w:val="en-GB"/>
              </w:rPr>
              <w:t>Multicentre</w:t>
            </w:r>
            <w:r w:rsidR="00DB6ACF">
              <w:rPr>
                <w:b/>
                <w:lang w:val="en-GB"/>
              </w:rPr>
              <w:t xml:space="preserve"> model in single centre </w:t>
            </w:r>
            <w:r w:rsidR="004713FF">
              <w:rPr>
                <w:b/>
                <w:lang w:val="en-GB"/>
              </w:rPr>
              <w:t xml:space="preserve">validation </w:t>
            </w:r>
            <w:r w:rsidR="004713FF" w:rsidRPr="00DB6ACF">
              <w:rPr>
                <w:b/>
                <w:lang w:val="en-GB"/>
              </w:rPr>
              <w:t>sample</w:t>
            </w:r>
          </w:p>
        </w:tc>
        <w:tc>
          <w:tcPr>
            <w:tcW w:w="1932" w:type="pct"/>
            <w:tcBorders>
              <w:bottom w:val="single" w:sz="4" w:space="0" w:color="auto"/>
            </w:tcBorders>
            <w:vAlign w:val="bottom"/>
          </w:tcPr>
          <w:p w14:paraId="0569FD85" w14:textId="23642A5E" w:rsidR="00161F40" w:rsidRPr="00FA486E" w:rsidRDefault="00C406B5">
            <w:pPr>
              <w:pStyle w:val="Compact"/>
              <w:rPr>
                <w:b/>
                <w:lang w:val="en-GB"/>
              </w:rPr>
            </w:pPr>
            <w:r w:rsidRPr="00FA486E">
              <w:rPr>
                <w:b/>
                <w:lang w:val="en-GB"/>
              </w:rPr>
              <w:t>Single centre</w:t>
            </w:r>
            <w:r w:rsidR="00DB6ACF">
              <w:rPr>
                <w:b/>
                <w:lang w:val="en-GB"/>
              </w:rPr>
              <w:t xml:space="preserve"> model in multicentre </w:t>
            </w:r>
            <w:r w:rsidR="004713FF">
              <w:rPr>
                <w:b/>
                <w:lang w:val="en-GB"/>
              </w:rPr>
              <w:t xml:space="preserve">validation </w:t>
            </w:r>
            <w:r w:rsidR="004713FF" w:rsidRPr="00DB6ACF">
              <w:rPr>
                <w:b/>
                <w:lang w:val="en-GB"/>
              </w:rPr>
              <w:t>sample</w:t>
            </w:r>
          </w:p>
        </w:tc>
      </w:tr>
      <w:tr w:rsidR="007451B4" w:rsidRPr="00A405BD" w14:paraId="08C15FA0" w14:textId="77777777" w:rsidTr="00FA486E">
        <w:tc>
          <w:tcPr>
            <w:tcW w:w="1286" w:type="pct"/>
            <w:tcBorders>
              <w:top w:val="single" w:sz="4" w:space="0" w:color="auto"/>
            </w:tcBorders>
          </w:tcPr>
          <w:p w14:paraId="1090638F" w14:textId="7D64B225" w:rsidR="007451B4" w:rsidRPr="00FA486E" w:rsidRDefault="007451B4" w:rsidP="007451B4">
            <w:pPr>
              <w:pStyle w:val="Compact"/>
              <w:rPr>
                <w:lang w:val="en-GB"/>
              </w:rPr>
            </w:pPr>
            <w:r w:rsidRPr="00ED55AA">
              <w:t>Mistriage</w:t>
            </w:r>
          </w:p>
        </w:tc>
        <w:tc>
          <w:tcPr>
            <w:tcW w:w="1782" w:type="pct"/>
            <w:tcBorders>
              <w:top w:val="single" w:sz="4" w:space="0" w:color="auto"/>
            </w:tcBorders>
          </w:tcPr>
          <w:p w14:paraId="0E4828C3" w14:textId="1B1321B7" w:rsidR="007451B4" w:rsidRPr="00FA486E" w:rsidRDefault="007451B4" w:rsidP="007451B4">
            <w:pPr>
              <w:pStyle w:val="Compact"/>
              <w:rPr>
                <w:lang w:val="en-GB"/>
              </w:rPr>
            </w:pPr>
            <w:r w:rsidRPr="00ED55AA">
              <w:t>0.31 (0.19 - 0.37)</w:t>
            </w:r>
          </w:p>
        </w:tc>
        <w:tc>
          <w:tcPr>
            <w:tcW w:w="1932" w:type="pct"/>
            <w:tcBorders>
              <w:top w:val="single" w:sz="4" w:space="0" w:color="auto"/>
            </w:tcBorders>
          </w:tcPr>
          <w:p w14:paraId="01508315" w14:textId="48012F17" w:rsidR="007451B4" w:rsidRPr="00FA486E" w:rsidRDefault="007451B4" w:rsidP="007451B4">
            <w:pPr>
              <w:pStyle w:val="Compact"/>
              <w:rPr>
                <w:lang w:val="en-GB"/>
              </w:rPr>
            </w:pPr>
            <w:r w:rsidRPr="00ED55AA">
              <w:t>0.60 (0.46 - 0.67)</w:t>
            </w:r>
          </w:p>
        </w:tc>
      </w:tr>
      <w:tr w:rsidR="007451B4" w:rsidRPr="00A405BD" w14:paraId="203F6AA9" w14:textId="77777777" w:rsidTr="001312BF">
        <w:tc>
          <w:tcPr>
            <w:tcW w:w="1286" w:type="pct"/>
          </w:tcPr>
          <w:p w14:paraId="7D7E29EE" w14:textId="70785560" w:rsidR="007451B4" w:rsidRPr="00FA486E" w:rsidRDefault="007451B4" w:rsidP="007451B4">
            <w:pPr>
              <w:pStyle w:val="Compact"/>
              <w:rPr>
                <w:lang w:val="en-GB"/>
              </w:rPr>
            </w:pPr>
            <w:r w:rsidRPr="00ED55AA">
              <w:t>Undertriage</w:t>
            </w:r>
          </w:p>
        </w:tc>
        <w:tc>
          <w:tcPr>
            <w:tcW w:w="1782" w:type="pct"/>
          </w:tcPr>
          <w:p w14:paraId="6C1B8CA0" w14:textId="537043C7" w:rsidR="007451B4" w:rsidRPr="00FA486E" w:rsidRDefault="007451B4" w:rsidP="007451B4">
            <w:pPr>
              <w:pStyle w:val="Compact"/>
              <w:rPr>
                <w:lang w:val="en-GB"/>
              </w:rPr>
            </w:pPr>
            <w:r w:rsidRPr="00ED55AA">
              <w:t>0.08 (0.07 - 0.12)</w:t>
            </w:r>
          </w:p>
        </w:tc>
        <w:tc>
          <w:tcPr>
            <w:tcW w:w="1932" w:type="pct"/>
          </w:tcPr>
          <w:p w14:paraId="77EED3C7" w14:textId="14E50588" w:rsidR="007451B4" w:rsidRPr="00FA486E" w:rsidRDefault="007451B4" w:rsidP="007451B4">
            <w:pPr>
              <w:pStyle w:val="Compact"/>
              <w:rPr>
                <w:lang w:val="en-GB"/>
              </w:rPr>
            </w:pPr>
            <w:r w:rsidRPr="00ED55AA">
              <w:t>0.03 (0.02 - 0.04)</w:t>
            </w:r>
          </w:p>
        </w:tc>
      </w:tr>
      <w:tr w:rsidR="007451B4" w:rsidRPr="00A405BD" w14:paraId="384E5586" w14:textId="77777777" w:rsidTr="001312BF">
        <w:tc>
          <w:tcPr>
            <w:tcW w:w="1286" w:type="pct"/>
          </w:tcPr>
          <w:p w14:paraId="3BEBA87E" w14:textId="3111FCE3" w:rsidR="007451B4" w:rsidRPr="00FA486E" w:rsidRDefault="007451B4" w:rsidP="007451B4">
            <w:pPr>
              <w:pStyle w:val="Compact"/>
              <w:rPr>
                <w:lang w:val="en-GB"/>
              </w:rPr>
            </w:pPr>
            <w:r w:rsidRPr="00ED55AA">
              <w:t>Overtriage</w:t>
            </w:r>
          </w:p>
        </w:tc>
        <w:tc>
          <w:tcPr>
            <w:tcW w:w="1782" w:type="pct"/>
          </w:tcPr>
          <w:p w14:paraId="5AABAE1B" w14:textId="1A1F5913" w:rsidR="007451B4" w:rsidRPr="00FA486E" w:rsidRDefault="007451B4" w:rsidP="007451B4">
            <w:pPr>
              <w:pStyle w:val="Compact"/>
              <w:rPr>
                <w:lang w:val="en-GB"/>
              </w:rPr>
            </w:pPr>
            <w:r w:rsidRPr="00ED55AA">
              <w:t>0.23 (0.09 - 0.29)</w:t>
            </w:r>
          </w:p>
        </w:tc>
        <w:tc>
          <w:tcPr>
            <w:tcW w:w="1932" w:type="pct"/>
          </w:tcPr>
          <w:p w14:paraId="074334D4" w14:textId="3FA8E1C1" w:rsidR="007451B4" w:rsidRPr="00FA486E" w:rsidRDefault="007451B4" w:rsidP="007451B4">
            <w:pPr>
              <w:pStyle w:val="Compact"/>
              <w:rPr>
                <w:lang w:val="en-GB"/>
              </w:rPr>
            </w:pPr>
            <w:r w:rsidRPr="00ED55AA">
              <w:t>0.57 (0.43 - 0.65)</w:t>
            </w:r>
          </w:p>
        </w:tc>
      </w:tr>
    </w:tbl>
    <w:p w14:paraId="7286DF71" w14:textId="77777777" w:rsidR="0001328F" w:rsidRDefault="0001328F" w:rsidP="00D0566F">
      <w:pPr>
        <w:pStyle w:val="Brdtext"/>
        <w:spacing w:line="360" w:lineRule="auto"/>
        <w:rPr>
          <w:lang w:val="en-GB"/>
        </w:rPr>
      </w:pPr>
    </w:p>
    <w:p w14:paraId="3033CB79" w14:textId="0D252657" w:rsidR="00161F40" w:rsidRPr="00FA486E" w:rsidRDefault="0001328F" w:rsidP="00D0566F">
      <w:pPr>
        <w:pStyle w:val="Brdtext"/>
        <w:spacing w:line="360" w:lineRule="auto"/>
        <w:rPr>
          <w:lang w:val="en-GB"/>
        </w:rPr>
      </w:pPr>
      <w:r>
        <w:rPr>
          <w:lang w:val="en-GB"/>
        </w:rPr>
        <w:t>Table 4</w:t>
      </w:r>
      <w:r w:rsidR="00496B42">
        <w:rPr>
          <w:lang w:val="en-GB"/>
        </w:rPr>
        <w:t xml:space="preserve"> is derived from table 2 and </w:t>
      </w:r>
      <w:proofErr w:type="gramStart"/>
      <w:r w:rsidR="00496B42">
        <w:rPr>
          <w:lang w:val="en-GB"/>
        </w:rPr>
        <w:t xml:space="preserve">3, </w:t>
      </w:r>
      <w:r w:rsidR="009B6E5A">
        <w:rPr>
          <w:lang w:val="en-GB"/>
        </w:rPr>
        <w:t>and</w:t>
      </w:r>
      <w:proofErr w:type="gramEnd"/>
      <w:r>
        <w:rPr>
          <w:lang w:val="en-GB"/>
        </w:rPr>
        <w:t xml:space="preserve"> shows the difference between the performance of the transferred model</w:t>
      </w:r>
      <w:r w:rsidR="005D274B">
        <w:rPr>
          <w:lang w:val="en-GB"/>
        </w:rPr>
        <w:t xml:space="preserve"> and</w:t>
      </w:r>
      <w:r>
        <w:rPr>
          <w:lang w:val="en-GB"/>
        </w:rPr>
        <w:t xml:space="preserve"> the validation model in th</w:t>
      </w:r>
      <w:r w:rsidR="005D274B">
        <w:rPr>
          <w:lang w:val="en-GB"/>
        </w:rPr>
        <w:t xml:space="preserve">e </w:t>
      </w:r>
      <w:r w:rsidR="00A24ECC">
        <w:rPr>
          <w:lang w:val="en-GB"/>
        </w:rPr>
        <w:t xml:space="preserve">validation </w:t>
      </w:r>
      <w:r w:rsidR="005D274B">
        <w:rPr>
          <w:lang w:val="en-GB"/>
        </w:rPr>
        <w:t>sample to which the model was transferred</w:t>
      </w:r>
      <w:r>
        <w:rPr>
          <w:lang w:val="en-GB"/>
        </w:rPr>
        <w:t xml:space="preserve">. For example: The low-volume model transferred to the high-volume </w:t>
      </w:r>
      <w:r w:rsidR="00A24ECC">
        <w:rPr>
          <w:lang w:val="en-GB"/>
        </w:rPr>
        <w:t xml:space="preserve">validation </w:t>
      </w:r>
      <w:r>
        <w:rPr>
          <w:lang w:val="en-GB"/>
        </w:rPr>
        <w:t>sample result</w:t>
      </w:r>
      <w:r w:rsidR="009B6E5A">
        <w:rPr>
          <w:lang w:val="en-GB"/>
        </w:rPr>
        <w:t>ed</w:t>
      </w:r>
      <w:r>
        <w:rPr>
          <w:lang w:val="en-GB"/>
        </w:rPr>
        <w:t xml:space="preserve"> in a mistriage</w:t>
      </w:r>
      <w:r w:rsidR="005D274B">
        <w:rPr>
          <w:lang w:val="en-GB"/>
        </w:rPr>
        <w:t xml:space="preserve"> rate</w:t>
      </w:r>
      <w:r>
        <w:rPr>
          <w:lang w:val="en-GB"/>
        </w:rPr>
        <w:t xml:space="preserve"> of 0</w:t>
      </w:r>
      <w:r w:rsidR="00FA140B">
        <w:rPr>
          <w:lang w:val="en-GB"/>
        </w:rPr>
        <w:t>.</w:t>
      </w:r>
      <w:r w:rsidR="007451B4">
        <w:rPr>
          <w:lang w:val="en-GB"/>
        </w:rPr>
        <w:t>52</w:t>
      </w:r>
      <w:r>
        <w:rPr>
          <w:lang w:val="en-GB"/>
        </w:rPr>
        <w:t xml:space="preserve"> (</w:t>
      </w:r>
      <w:r w:rsidRPr="009C10D5">
        <w:rPr>
          <w:lang w:val="en-GB"/>
        </w:rPr>
        <w:t>0.</w:t>
      </w:r>
      <w:r w:rsidR="007451B4">
        <w:rPr>
          <w:lang w:val="en-GB"/>
        </w:rPr>
        <w:t>39</w:t>
      </w:r>
      <w:r w:rsidRPr="009C10D5">
        <w:rPr>
          <w:lang w:val="en-GB"/>
        </w:rPr>
        <w:t xml:space="preserve"> - 0.</w:t>
      </w:r>
      <w:r w:rsidR="007451B4">
        <w:rPr>
          <w:lang w:val="en-GB"/>
        </w:rPr>
        <w:t>72</w:t>
      </w:r>
      <w:r>
        <w:rPr>
          <w:lang w:val="en-GB"/>
        </w:rPr>
        <w:t xml:space="preserve">). The high-volume model validation </w:t>
      </w:r>
      <w:r w:rsidR="005D274B">
        <w:rPr>
          <w:lang w:val="en-GB"/>
        </w:rPr>
        <w:t>mistriage rate</w:t>
      </w:r>
      <w:r>
        <w:rPr>
          <w:lang w:val="en-GB"/>
        </w:rPr>
        <w:t xml:space="preserve"> </w:t>
      </w:r>
      <w:r w:rsidR="005D274B">
        <w:rPr>
          <w:lang w:val="en-GB"/>
        </w:rPr>
        <w:t>was</w:t>
      </w:r>
      <w:r>
        <w:rPr>
          <w:lang w:val="en-GB"/>
        </w:rPr>
        <w:t xml:space="preserve"> </w:t>
      </w:r>
      <w:r w:rsidRPr="009C10D5">
        <w:rPr>
          <w:lang w:val="en-GB"/>
        </w:rPr>
        <w:t>0.2</w:t>
      </w:r>
      <w:r w:rsidR="007451B4">
        <w:rPr>
          <w:lang w:val="en-GB"/>
        </w:rPr>
        <w:t>7</w:t>
      </w:r>
      <w:r w:rsidRPr="009C10D5">
        <w:rPr>
          <w:lang w:val="en-GB"/>
        </w:rPr>
        <w:t xml:space="preserve"> (0.1</w:t>
      </w:r>
      <w:r w:rsidR="007451B4">
        <w:rPr>
          <w:lang w:val="en-GB"/>
        </w:rPr>
        <w:t>6</w:t>
      </w:r>
      <w:r w:rsidRPr="009C10D5">
        <w:rPr>
          <w:lang w:val="en-GB"/>
        </w:rPr>
        <w:t xml:space="preserve"> - 0.3</w:t>
      </w:r>
      <w:r w:rsidR="007451B4">
        <w:rPr>
          <w:lang w:val="en-GB"/>
        </w:rPr>
        <w:t>8</w:t>
      </w:r>
      <w:r w:rsidRPr="009C10D5">
        <w:rPr>
          <w:lang w:val="en-GB"/>
        </w:rPr>
        <w:t>)</w:t>
      </w:r>
      <w:r>
        <w:rPr>
          <w:lang w:val="en-GB"/>
        </w:rPr>
        <w:t>. The difference then being 0.</w:t>
      </w:r>
      <w:r w:rsidR="007451B4">
        <w:rPr>
          <w:lang w:val="en-GB"/>
        </w:rPr>
        <w:t>52</w:t>
      </w:r>
      <w:r>
        <w:rPr>
          <w:lang w:val="en-GB"/>
        </w:rPr>
        <w:t xml:space="preserve"> – 0.2</w:t>
      </w:r>
      <w:r w:rsidR="007451B4">
        <w:rPr>
          <w:lang w:val="en-GB"/>
        </w:rPr>
        <w:t>7</w:t>
      </w:r>
      <w:r>
        <w:rPr>
          <w:lang w:val="en-GB"/>
        </w:rPr>
        <w:t xml:space="preserve"> = </w:t>
      </w:r>
      <w:r w:rsidRPr="009C10D5">
        <w:rPr>
          <w:lang w:val="en-GB"/>
        </w:rPr>
        <w:t>0.</w:t>
      </w:r>
      <w:r w:rsidR="007451B4">
        <w:rPr>
          <w:lang w:val="en-GB"/>
        </w:rPr>
        <w:t>25</w:t>
      </w:r>
      <w:r>
        <w:rPr>
          <w:lang w:val="en-GB"/>
        </w:rPr>
        <w:t xml:space="preserve">, </w:t>
      </w:r>
      <w:r w:rsidR="005D274B">
        <w:rPr>
          <w:lang w:val="en-GB"/>
        </w:rPr>
        <w:t xml:space="preserve">meaning there was an increased mistriage rate of </w:t>
      </w:r>
      <w:r w:rsidR="005D274B" w:rsidRPr="009C10D5">
        <w:rPr>
          <w:lang w:val="en-GB"/>
        </w:rPr>
        <w:t>0.</w:t>
      </w:r>
      <w:r w:rsidR="007451B4">
        <w:rPr>
          <w:lang w:val="en-GB"/>
        </w:rPr>
        <w:t>25</w:t>
      </w:r>
      <w:r w:rsidR="005D274B" w:rsidRPr="009C10D5">
        <w:rPr>
          <w:lang w:val="en-GB"/>
        </w:rPr>
        <w:t xml:space="preserve"> (0.</w:t>
      </w:r>
      <w:r w:rsidR="007451B4">
        <w:rPr>
          <w:lang w:val="en-GB"/>
        </w:rPr>
        <w:t>08</w:t>
      </w:r>
      <w:r w:rsidR="005D274B" w:rsidRPr="009C10D5">
        <w:rPr>
          <w:lang w:val="en-GB"/>
        </w:rPr>
        <w:t xml:space="preserve"> - 0.</w:t>
      </w:r>
      <w:r w:rsidR="007451B4">
        <w:rPr>
          <w:lang w:val="en-GB"/>
        </w:rPr>
        <w:t>52</w:t>
      </w:r>
      <w:r w:rsidR="005D274B" w:rsidRPr="009C10D5">
        <w:rPr>
          <w:lang w:val="en-GB"/>
        </w:rPr>
        <w:t>)</w:t>
      </w:r>
      <w:r w:rsidR="005D274B">
        <w:rPr>
          <w:lang w:val="en-GB"/>
        </w:rPr>
        <w:t xml:space="preserve"> from this</w:t>
      </w:r>
      <w:r w:rsidR="00496B42">
        <w:rPr>
          <w:lang w:val="en-GB"/>
        </w:rPr>
        <w:t xml:space="preserve"> </w:t>
      </w:r>
      <w:r w:rsidR="005D274B">
        <w:rPr>
          <w:lang w:val="en-GB"/>
        </w:rPr>
        <w:t>model transfer</w:t>
      </w:r>
      <w:r>
        <w:rPr>
          <w:lang w:val="en-GB"/>
        </w:rPr>
        <w:t>.</w:t>
      </w:r>
      <w:r w:rsidR="005D274B">
        <w:rPr>
          <w:lang w:val="en-GB"/>
        </w:rPr>
        <w:t xml:space="preserve"> </w:t>
      </w:r>
      <w:r w:rsidR="00C406B5" w:rsidRPr="00FA486E">
        <w:rPr>
          <w:lang w:val="en-GB"/>
        </w:rPr>
        <w:t xml:space="preserve">In clinical terms, this means that </w:t>
      </w:r>
      <w:r w:rsidR="009B6E5A">
        <w:rPr>
          <w:lang w:val="en-GB"/>
        </w:rPr>
        <w:t>out of</w:t>
      </w:r>
      <w:r w:rsidR="00C406B5" w:rsidRPr="00FA486E">
        <w:rPr>
          <w:lang w:val="en-GB"/>
        </w:rPr>
        <w:t xml:space="preserve"> 100 trauma patients, </w:t>
      </w:r>
      <w:r w:rsidR="007451B4">
        <w:rPr>
          <w:lang w:val="en-GB"/>
        </w:rPr>
        <w:t>25</w:t>
      </w:r>
      <w:r w:rsidR="007451B4" w:rsidRPr="00FA486E">
        <w:rPr>
          <w:lang w:val="en-GB"/>
        </w:rPr>
        <w:t xml:space="preserve"> </w:t>
      </w:r>
      <w:r w:rsidR="00C406B5" w:rsidRPr="00FA486E">
        <w:rPr>
          <w:lang w:val="en-GB"/>
        </w:rPr>
        <w:t>more patients</w:t>
      </w:r>
      <w:r w:rsidR="009B6E5A">
        <w:rPr>
          <w:lang w:val="en-GB"/>
        </w:rPr>
        <w:t>, with an uncertainty ranging between 8 and 52 more patients</w:t>
      </w:r>
      <w:r w:rsidR="00C406B5" w:rsidRPr="00FA486E">
        <w:rPr>
          <w:lang w:val="en-GB"/>
        </w:rPr>
        <w:t xml:space="preserve"> would be wrongly classified as having major or minor trauma</w:t>
      </w:r>
      <w:r w:rsidR="005D274B">
        <w:rPr>
          <w:lang w:val="en-GB"/>
        </w:rPr>
        <w:t xml:space="preserve"> following this model transfer</w:t>
      </w:r>
      <w:r w:rsidR="00C406B5" w:rsidRPr="00FA486E">
        <w:rPr>
          <w:lang w:val="en-GB"/>
        </w:rPr>
        <w:t>.</w:t>
      </w:r>
    </w:p>
    <w:p w14:paraId="7FC77174" w14:textId="77777777" w:rsidR="00E601F6" w:rsidRDefault="00E601F6">
      <w:pPr>
        <w:rPr>
          <w:rFonts w:ascii="Times New Roman" w:hAnsi="Times New Roman"/>
          <w:b/>
          <w:lang w:val="en-GB"/>
        </w:rPr>
      </w:pPr>
      <w:r>
        <w:rPr>
          <w:b/>
          <w:lang w:val="en-GB"/>
        </w:rPr>
        <w:br w:type="page"/>
      </w:r>
    </w:p>
    <w:p w14:paraId="4E11B9F9" w14:textId="08670F20" w:rsidR="00161F40" w:rsidRPr="00FA486E" w:rsidRDefault="00C406B5" w:rsidP="001312BF">
      <w:pPr>
        <w:pStyle w:val="Brdtext"/>
        <w:spacing w:line="240" w:lineRule="auto"/>
        <w:rPr>
          <w:b/>
          <w:lang w:val="en-GB"/>
        </w:rPr>
      </w:pPr>
      <w:r w:rsidRPr="00FA486E">
        <w:rPr>
          <w:b/>
          <w:lang w:val="en-GB"/>
        </w:rPr>
        <w:lastRenderedPageBreak/>
        <w:t xml:space="preserve">Table 4. </w:t>
      </w:r>
      <w:proofErr w:type="gramStart"/>
      <w:r w:rsidR="00EB2C8F">
        <w:rPr>
          <w:b/>
          <w:lang w:val="en-GB"/>
        </w:rPr>
        <w:t>Model performance difference,</w:t>
      </w:r>
      <w:proofErr w:type="gramEnd"/>
      <w:r w:rsidRPr="00FA486E">
        <w:rPr>
          <w:b/>
          <w:lang w:val="en-GB"/>
        </w:rPr>
        <w:t xml:space="preserve"> i.e. </w:t>
      </w:r>
      <w:r w:rsidR="00496B42">
        <w:rPr>
          <w:b/>
          <w:lang w:val="en-GB"/>
        </w:rPr>
        <w:t xml:space="preserve">transferred model performance minus model validation sample performance in the validation sample receiving the transferred model. </w:t>
      </w:r>
      <w:r w:rsidRPr="00FA486E">
        <w:rPr>
          <w:lang w:val="en-GB"/>
        </w:rPr>
        <w:t xml:space="preserve">Data are presented as point estimates with 95% </w:t>
      </w:r>
      <w:r w:rsidR="009B6E5A">
        <w:rPr>
          <w:lang w:val="en-GB"/>
        </w:rPr>
        <w:t>confidence</w:t>
      </w:r>
      <w:r w:rsidR="009B6E5A" w:rsidRPr="00FA486E">
        <w:rPr>
          <w:lang w:val="en-GB"/>
        </w:rPr>
        <w:t xml:space="preserve"> </w:t>
      </w:r>
      <w:r w:rsidRPr="00FA486E">
        <w:rPr>
          <w:lang w:val="en-GB"/>
        </w:rPr>
        <w:t>intervals.</w:t>
      </w:r>
    </w:p>
    <w:tbl>
      <w:tblPr>
        <w:tblW w:w="5000" w:type="pct"/>
        <w:tblLook w:val="07E0" w:firstRow="1" w:lastRow="1" w:firstColumn="1" w:lastColumn="1" w:noHBand="1" w:noVBand="1"/>
      </w:tblPr>
      <w:tblGrid>
        <w:gridCol w:w="2318"/>
        <w:gridCol w:w="3544"/>
        <w:gridCol w:w="3544"/>
      </w:tblGrid>
      <w:tr w:rsidR="00A17AE6" w14:paraId="1BEE002F" w14:textId="77777777" w:rsidTr="00FA486E">
        <w:tc>
          <w:tcPr>
            <w:tcW w:w="1232" w:type="pct"/>
            <w:tcBorders>
              <w:bottom w:val="single" w:sz="4" w:space="0" w:color="auto"/>
            </w:tcBorders>
            <w:vAlign w:val="bottom"/>
          </w:tcPr>
          <w:p w14:paraId="19185735" w14:textId="77777777" w:rsidR="00A17AE6" w:rsidRPr="00FA486E" w:rsidRDefault="00A17AE6" w:rsidP="00A17AE6">
            <w:pPr>
              <w:pStyle w:val="Compact"/>
              <w:rPr>
                <w:lang w:val="en-GB"/>
              </w:rPr>
            </w:pPr>
          </w:p>
        </w:tc>
        <w:tc>
          <w:tcPr>
            <w:tcW w:w="1884" w:type="pct"/>
            <w:tcBorders>
              <w:bottom w:val="single" w:sz="4" w:space="0" w:color="auto"/>
            </w:tcBorders>
            <w:vAlign w:val="bottom"/>
          </w:tcPr>
          <w:p w14:paraId="55D6463F" w14:textId="74BBFF49" w:rsidR="00A17AE6" w:rsidRPr="00FA486E" w:rsidRDefault="00A17AE6" w:rsidP="00A17AE6">
            <w:pPr>
              <w:pStyle w:val="Compact"/>
              <w:rPr>
                <w:b/>
                <w:lang w:val="en-GB"/>
              </w:rPr>
            </w:pPr>
            <w:r w:rsidRPr="009C10D5">
              <w:rPr>
                <w:b/>
                <w:lang w:val="en-GB"/>
              </w:rPr>
              <w:t xml:space="preserve">High-volume model in low-volume </w:t>
            </w:r>
            <w:r w:rsidR="00A24ECC">
              <w:rPr>
                <w:b/>
                <w:lang w:val="en-GB"/>
              </w:rPr>
              <w:t xml:space="preserve">validation </w:t>
            </w:r>
            <w:r w:rsidR="00A24ECC" w:rsidRPr="00DB6ACF">
              <w:rPr>
                <w:b/>
                <w:lang w:val="en-GB"/>
              </w:rPr>
              <w:t>sample</w:t>
            </w:r>
            <w:r w:rsidR="00A24ECC" w:rsidRPr="00A405BD" w:rsidDel="00BD1C9A">
              <w:rPr>
                <w:b/>
                <w:lang w:val="en-GB"/>
              </w:rPr>
              <w:t xml:space="preserve"> </w:t>
            </w:r>
          </w:p>
        </w:tc>
        <w:tc>
          <w:tcPr>
            <w:tcW w:w="1884" w:type="pct"/>
            <w:tcBorders>
              <w:bottom w:val="single" w:sz="4" w:space="0" w:color="auto"/>
            </w:tcBorders>
            <w:vAlign w:val="bottom"/>
          </w:tcPr>
          <w:p w14:paraId="1851CF5B" w14:textId="6B3D8A5A" w:rsidR="00A17AE6" w:rsidRPr="00FA486E" w:rsidRDefault="00A17AE6" w:rsidP="00A17AE6">
            <w:pPr>
              <w:pStyle w:val="Compact"/>
              <w:rPr>
                <w:b/>
                <w:lang w:val="en-GB"/>
              </w:rPr>
            </w:pPr>
            <w:r w:rsidRPr="009C10D5">
              <w:rPr>
                <w:b/>
                <w:lang w:val="en-GB"/>
              </w:rPr>
              <w:t xml:space="preserve">Low-volume model in high-volume </w:t>
            </w:r>
            <w:r w:rsidR="00A24ECC">
              <w:rPr>
                <w:b/>
                <w:lang w:val="en-GB"/>
              </w:rPr>
              <w:t xml:space="preserve">validation </w:t>
            </w:r>
            <w:r w:rsidR="00A24ECC" w:rsidRPr="00DB6ACF">
              <w:rPr>
                <w:b/>
                <w:lang w:val="en-GB"/>
              </w:rPr>
              <w:t>sample</w:t>
            </w:r>
            <w:r w:rsidR="00A24ECC" w:rsidRPr="00A405BD" w:rsidDel="00BD1C9A">
              <w:rPr>
                <w:b/>
                <w:lang w:val="en-GB"/>
              </w:rPr>
              <w:t xml:space="preserve"> </w:t>
            </w:r>
          </w:p>
        </w:tc>
      </w:tr>
      <w:tr w:rsidR="007451B4" w:rsidRPr="00A405BD" w14:paraId="15BB7EF3" w14:textId="77777777" w:rsidTr="00FA486E">
        <w:tc>
          <w:tcPr>
            <w:tcW w:w="1232" w:type="pct"/>
            <w:tcBorders>
              <w:top w:val="single" w:sz="4" w:space="0" w:color="auto"/>
            </w:tcBorders>
          </w:tcPr>
          <w:p w14:paraId="4F36D3E4" w14:textId="32F1A232" w:rsidR="007451B4" w:rsidRPr="00FA486E" w:rsidRDefault="007451B4" w:rsidP="007451B4">
            <w:pPr>
              <w:pStyle w:val="Compact"/>
              <w:rPr>
                <w:lang w:val="en-GB"/>
              </w:rPr>
            </w:pPr>
            <w:r w:rsidRPr="006F65A3">
              <w:t>Mistriage</w:t>
            </w:r>
          </w:p>
        </w:tc>
        <w:tc>
          <w:tcPr>
            <w:tcW w:w="1884" w:type="pct"/>
            <w:tcBorders>
              <w:top w:val="single" w:sz="4" w:space="0" w:color="auto"/>
            </w:tcBorders>
          </w:tcPr>
          <w:p w14:paraId="056BC479" w14:textId="7AE8299C" w:rsidR="007451B4" w:rsidRPr="00FA486E" w:rsidRDefault="007451B4" w:rsidP="007451B4">
            <w:pPr>
              <w:pStyle w:val="Compact"/>
              <w:rPr>
                <w:lang w:val="en-GB"/>
              </w:rPr>
            </w:pPr>
            <w:r w:rsidRPr="006F65A3">
              <w:t>-0.20 (-0.40 - -0.08)</w:t>
            </w:r>
          </w:p>
        </w:tc>
        <w:tc>
          <w:tcPr>
            <w:tcW w:w="1884" w:type="pct"/>
            <w:tcBorders>
              <w:top w:val="single" w:sz="4" w:space="0" w:color="auto"/>
            </w:tcBorders>
          </w:tcPr>
          <w:p w14:paraId="125D05FD" w14:textId="57FF390E" w:rsidR="007451B4" w:rsidRPr="00FA486E" w:rsidRDefault="007451B4" w:rsidP="007451B4">
            <w:pPr>
              <w:pStyle w:val="Compact"/>
              <w:rPr>
                <w:lang w:val="en-GB"/>
              </w:rPr>
            </w:pPr>
            <w:r w:rsidRPr="006F65A3">
              <w:t>0.25 (0.08 - 0.52)</w:t>
            </w:r>
          </w:p>
        </w:tc>
      </w:tr>
      <w:tr w:rsidR="007451B4" w:rsidRPr="00A405BD" w14:paraId="467D2F12" w14:textId="77777777" w:rsidTr="007451B4">
        <w:tc>
          <w:tcPr>
            <w:tcW w:w="1232" w:type="pct"/>
          </w:tcPr>
          <w:p w14:paraId="5501E10E" w14:textId="753CA6A6" w:rsidR="007451B4" w:rsidRPr="00FA486E" w:rsidRDefault="007451B4" w:rsidP="007451B4">
            <w:pPr>
              <w:pStyle w:val="Compact"/>
              <w:rPr>
                <w:lang w:val="en-GB"/>
              </w:rPr>
            </w:pPr>
            <w:r w:rsidRPr="006F65A3">
              <w:t>Undertriage</w:t>
            </w:r>
          </w:p>
        </w:tc>
        <w:tc>
          <w:tcPr>
            <w:tcW w:w="1884" w:type="pct"/>
          </w:tcPr>
          <w:p w14:paraId="4423B971" w14:textId="32D222F8" w:rsidR="007451B4" w:rsidRPr="00FA486E" w:rsidRDefault="007451B4" w:rsidP="007451B4">
            <w:pPr>
              <w:pStyle w:val="Compact"/>
              <w:rPr>
                <w:lang w:val="en-GB"/>
              </w:rPr>
            </w:pPr>
            <w:r w:rsidRPr="006F65A3">
              <w:t>0.03 (0.01 - 0.06)</w:t>
            </w:r>
          </w:p>
        </w:tc>
        <w:tc>
          <w:tcPr>
            <w:tcW w:w="1884" w:type="pct"/>
          </w:tcPr>
          <w:p w14:paraId="298DF859" w14:textId="429456E4" w:rsidR="007451B4" w:rsidRPr="00FA486E" w:rsidRDefault="007451B4" w:rsidP="007451B4">
            <w:pPr>
              <w:pStyle w:val="Compact"/>
              <w:rPr>
                <w:lang w:val="en-GB"/>
              </w:rPr>
            </w:pPr>
            <w:r w:rsidRPr="006F65A3">
              <w:t>-0.03 (-0.05 - -0.01)</w:t>
            </w:r>
          </w:p>
        </w:tc>
      </w:tr>
      <w:tr w:rsidR="007451B4" w:rsidRPr="00A405BD" w14:paraId="23AC1A02" w14:textId="77777777" w:rsidTr="00FA486E">
        <w:tc>
          <w:tcPr>
            <w:tcW w:w="1232" w:type="pct"/>
          </w:tcPr>
          <w:p w14:paraId="4B839CFB" w14:textId="4FD637A7" w:rsidR="007451B4" w:rsidRPr="00FA486E" w:rsidRDefault="007451B4" w:rsidP="007451B4">
            <w:pPr>
              <w:pStyle w:val="Compact"/>
              <w:rPr>
                <w:lang w:val="en-GB"/>
              </w:rPr>
            </w:pPr>
            <w:r w:rsidRPr="006F65A3">
              <w:t>Overtriage</w:t>
            </w:r>
          </w:p>
        </w:tc>
        <w:tc>
          <w:tcPr>
            <w:tcW w:w="1884" w:type="pct"/>
          </w:tcPr>
          <w:p w14:paraId="132A220D" w14:textId="6821DECD" w:rsidR="007451B4" w:rsidRPr="00FA486E" w:rsidRDefault="007451B4" w:rsidP="007451B4">
            <w:pPr>
              <w:pStyle w:val="Compact"/>
              <w:rPr>
                <w:lang w:val="en-GB"/>
              </w:rPr>
            </w:pPr>
            <w:r w:rsidRPr="006F65A3">
              <w:t>-0.23 (-0.45 - -0.09)</w:t>
            </w:r>
          </w:p>
        </w:tc>
        <w:tc>
          <w:tcPr>
            <w:tcW w:w="1884" w:type="pct"/>
          </w:tcPr>
          <w:p w14:paraId="52691088" w14:textId="766D5634" w:rsidR="007451B4" w:rsidRPr="00FA486E" w:rsidRDefault="007451B4" w:rsidP="007451B4">
            <w:pPr>
              <w:pStyle w:val="Compact"/>
              <w:rPr>
                <w:lang w:val="en-GB"/>
              </w:rPr>
            </w:pPr>
            <w:r w:rsidRPr="006F65A3">
              <w:t>0.28 (0.10 - 0.57)</w:t>
            </w:r>
          </w:p>
        </w:tc>
      </w:tr>
      <w:tr w:rsidR="00A17AE6" w14:paraId="04A7AA28" w14:textId="77777777" w:rsidTr="00FA486E">
        <w:tc>
          <w:tcPr>
            <w:tcW w:w="1232" w:type="pct"/>
            <w:tcBorders>
              <w:bottom w:val="single" w:sz="4" w:space="0" w:color="auto"/>
            </w:tcBorders>
            <w:vAlign w:val="bottom"/>
          </w:tcPr>
          <w:p w14:paraId="1C6E8815" w14:textId="77777777" w:rsidR="00A17AE6" w:rsidRPr="00FA486E" w:rsidRDefault="00A17AE6" w:rsidP="00A17AE6">
            <w:pPr>
              <w:pStyle w:val="Compact"/>
              <w:rPr>
                <w:lang w:val="en-GB"/>
              </w:rPr>
            </w:pPr>
          </w:p>
        </w:tc>
        <w:tc>
          <w:tcPr>
            <w:tcW w:w="1884" w:type="pct"/>
            <w:tcBorders>
              <w:bottom w:val="single" w:sz="4" w:space="0" w:color="auto"/>
            </w:tcBorders>
            <w:vAlign w:val="bottom"/>
          </w:tcPr>
          <w:p w14:paraId="576760CC" w14:textId="5B911322" w:rsidR="00A17AE6" w:rsidRPr="00FA486E" w:rsidRDefault="00A17AE6" w:rsidP="00A17AE6">
            <w:pPr>
              <w:pStyle w:val="Compact"/>
              <w:rPr>
                <w:b/>
                <w:lang w:val="en-GB"/>
              </w:rPr>
            </w:pPr>
            <w:r w:rsidRPr="009C10D5">
              <w:rPr>
                <w:b/>
                <w:lang w:val="en-GB"/>
              </w:rPr>
              <w:t xml:space="preserve">Metropolitan model in non-metropolitan </w:t>
            </w:r>
            <w:r w:rsidR="00A24ECC">
              <w:rPr>
                <w:b/>
                <w:lang w:val="en-GB"/>
              </w:rPr>
              <w:t xml:space="preserve">validation </w:t>
            </w:r>
            <w:r w:rsidR="00A24ECC" w:rsidRPr="00DB6ACF">
              <w:rPr>
                <w:b/>
                <w:lang w:val="en-GB"/>
              </w:rPr>
              <w:t>sample</w:t>
            </w:r>
            <w:r w:rsidR="00A24ECC" w:rsidRPr="00A405BD" w:rsidDel="002527B3">
              <w:rPr>
                <w:b/>
                <w:lang w:val="en-GB"/>
              </w:rPr>
              <w:t xml:space="preserve"> </w:t>
            </w:r>
          </w:p>
        </w:tc>
        <w:tc>
          <w:tcPr>
            <w:tcW w:w="1884" w:type="pct"/>
            <w:tcBorders>
              <w:bottom w:val="single" w:sz="4" w:space="0" w:color="auto"/>
            </w:tcBorders>
            <w:vAlign w:val="bottom"/>
          </w:tcPr>
          <w:p w14:paraId="33F963C7" w14:textId="6797DE22" w:rsidR="00A17AE6" w:rsidRPr="00FA486E" w:rsidRDefault="00A17AE6" w:rsidP="00A17AE6">
            <w:pPr>
              <w:pStyle w:val="Compact"/>
              <w:rPr>
                <w:b/>
                <w:lang w:val="en-GB"/>
              </w:rPr>
            </w:pPr>
            <w:r w:rsidRPr="009C10D5">
              <w:rPr>
                <w:b/>
                <w:lang w:val="en-GB"/>
              </w:rPr>
              <w:t xml:space="preserve">Non-metropolitan model in metropolitan </w:t>
            </w:r>
            <w:r w:rsidR="00A24ECC">
              <w:rPr>
                <w:b/>
                <w:lang w:val="en-GB"/>
              </w:rPr>
              <w:t xml:space="preserve">validation </w:t>
            </w:r>
            <w:r w:rsidR="00A24ECC" w:rsidRPr="00DB6ACF">
              <w:rPr>
                <w:b/>
                <w:lang w:val="en-GB"/>
              </w:rPr>
              <w:t>sample</w:t>
            </w:r>
            <w:r w:rsidR="00A24ECC" w:rsidRPr="00A405BD" w:rsidDel="002527B3">
              <w:rPr>
                <w:b/>
                <w:lang w:val="en-GB"/>
              </w:rPr>
              <w:t xml:space="preserve"> </w:t>
            </w:r>
          </w:p>
        </w:tc>
      </w:tr>
      <w:tr w:rsidR="007451B4" w:rsidRPr="00A405BD" w14:paraId="51D8115E" w14:textId="77777777" w:rsidTr="00FA486E">
        <w:tc>
          <w:tcPr>
            <w:tcW w:w="1232" w:type="pct"/>
            <w:tcBorders>
              <w:top w:val="single" w:sz="4" w:space="0" w:color="auto"/>
            </w:tcBorders>
          </w:tcPr>
          <w:p w14:paraId="16681EE7" w14:textId="4831B5F0" w:rsidR="007451B4" w:rsidRPr="00FA486E" w:rsidRDefault="007451B4" w:rsidP="007451B4">
            <w:pPr>
              <w:pStyle w:val="Compact"/>
              <w:rPr>
                <w:lang w:val="en-GB"/>
              </w:rPr>
            </w:pPr>
            <w:r w:rsidRPr="006E3A4F">
              <w:t>Mistriage</w:t>
            </w:r>
          </w:p>
        </w:tc>
        <w:tc>
          <w:tcPr>
            <w:tcW w:w="1884" w:type="pct"/>
            <w:tcBorders>
              <w:top w:val="single" w:sz="4" w:space="0" w:color="auto"/>
            </w:tcBorders>
          </w:tcPr>
          <w:p w14:paraId="33762FD4" w14:textId="361D8E22" w:rsidR="007451B4" w:rsidRPr="00FA486E" w:rsidRDefault="007451B4" w:rsidP="007451B4">
            <w:pPr>
              <w:pStyle w:val="Compact"/>
              <w:rPr>
                <w:lang w:val="en-GB"/>
              </w:rPr>
            </w:pPr>
            <w:r w:rsidRPr="006E3A4F">
              <w:t>0.12 (-0.06 - 0.30)</w:t>
            </w:r>
          </w:p>
        </w:tc>
        <w:tc>
          <w:tcPr>
            <w:tcW w:w="1884" w:type="pct"/>
            <w:tcBorders>
              <w:top w:val="single" w:sz="4" w:space="0" w:color="auto"/>
            </w:tcBorders>
          </w:tcPr>
          <w:p w14:paraId="5815A7ED" w14:textId="26E26EF1" w:rsidR="007451B4" w:rsidRPr="00FA486E" w:rsidRDefault="007451B4" w:rsidP="007451B4">
            <w:pPr>
              <w:pStyle w:val="Compact"/>
              <w:rPr>
                <w:lang w:val="en-GB"/>
              </w:rPr>
            </w:pPr>
            <w:r w:rsidRPr="006E3A4F">
              <w:t>-0.08 (-0.34 - -0.11)</w:t>
            </w:r>
          </w:p>
        </w:tc>
      </w:tr>
      <w:tr w:rsidR="007451B4" w:rsidRPr="00A405BD" w14:paraId="1B54A78C" w14:textId="77777777" w:rsidTr="007451B4">
        <w:tc>
          <w:tcPr>
            <w:tcW w:w="1232" w:type="pct"/>
          </w:tcPr>
          <w:p w14:paraId="691F1245" w14:textId="57C6DD0E" w:rsidR="007451B4" w:rsidRPr="00FA486E" w:rsidRDefault="007451B4" w:rsidP="007451B4">
            <w:pPr>
              <w:pStyle w:val="Compact"/>
              <w:rPr>
                <w:lang w:val="en-GB"/>
              </w:rPr>
            </w:pPr>
            <w:r w:rsidRPr="006E3A4F">
              <w:t>Undertriage</w:t>
            </w:r>
          </w:p>
        </w:tc>
        <w:tc>
          <w:tcPr>
            <w:tcW w:w="1884" w:type="pct"/>
          </w:tcPr>
          <w:p w14:paraId="680CDA13" w14:textId="031B4332" w:rsidR="007451B4" w:rsidRPr="00FA486E" w:rsidRDefault="007451B4" w:rsidP="007451B4">
            <w:pPr>
              <w:pStyle w:val="Compact"/>
              <w:rPr>
                <w:lang w:val="en-GB"/>
              </w:rPr>
            </w:pPr>
            <w:r w:rsidRPr="006E3A4F">
              <w:t>-0.01 (-0.03 - -0.00)</w:t>
            </w:r>
          </w:p>
        </w:tc>
        <w:tc>
          <w:tcPr>
            <w:tcW w:w="1884" w:type="pct"/>
          </w:tcPr>
          <w:p w14:paraId="5016F227" w14:textId="47ED983A" w:rsidR="007451B4" w:rsidRPr="00FA486E" w:rsidRDefault="007451B4" w:rsidP="007451B4">
            <w:pPr>
              <w:pStyle w:val="Compact"/>
              <w:rPr>
                <w:lang w:val="en-GB"/>
              </w:rPr>
            </w:pPr>
            <w:r w:rsidRPr="006E3A4F">
              <w:t>0.02 (0.02 - 0.06)</w:t>
            </w:r>
          </w:p>
        </w:tc>
      </w:tr>
      <w:tr w:rsidR="007451B4" w:rsidRPr="00A405BD" w14:paraId="292E0928" w14:textId="77777777" w:rsidTr="00FA486E">
        <w:tc>
          <w:tcPr>
            <w:tcW w:w="1232" w:type="pct"/>
          </w:tcPr>
          <w:p w14:paraId="19AC767C" w14:textId="00F5B25B" w:rsidR="007451B4" w:rsidRPr="00FA486E" w:rsidRDefault="007451B4" w:rsidP="007451B4">
            <w:pPr>
              <w:pStyle w:val="Compact"/>
              <w:rPr>
                <w:lang w:val="en-GB"/>
              </w:rPr>
            </w:pPr>
            <w:r w:rsidRPr="006E3A4F">
              <w:t>Overtriage</w:t>
            </w:r>
          </w:p>
        </w:tc>
        <w:tc>
          <w:tcPr>
            <w:tcW w:w="1884" w:type="pct"/>
          </w:tcPr>
          <w:p w14:paraId="084A379C" w14:textId="6CC809E6" w:rsidR="007451B4" w:rsidRPr="00FA486E" w:rsidRDefault="007451B4" w:rsidP="007451B4">
            <w:pPr>
              <w:pStyle w:val="Compact"/>
              <w:rPr>
                <w:lang w:val="en-GB"/>
              </w:rPr>
            </w:pPr>
            <w:r w:rsidRPr="006E3A4F">
              <w:t>0.13 (-0.06 - 0.33)</w:t>
            </w:r>
          </w:p>
        </w:tc>
        <w:tc>
          <w:tcPr>
            <w:tcW w:w="1884" w:type="pct"/>
          </w:tcPr>
          <w:p w14:paraId="224416DE" w14:textId="5130A947" w:rsidR="007451B4" w:rsidRPr="00FA486E" w:rsidRDefault="007451B4" w:rsidP="007451B4">
            <w:pPr>
              <w:pStyle w:val="Compact"/>
              <w:rPr>
                <w:lang w:val="en-GB"/>
              </w:rPr>
            </w:pPr>
            <w:r w:rsidRPr="006E3A4F">
              <w:t>-0.10 (-0.39 - -0.13)</w:t>
            </w:r>
          </w:p>
        </w:tc>
      </w:tr>
      <w:tr w:rsidR="00A17AE6" w14:paraId="7BEED377" w14:textId="77777777" w:rsidTr="00FA486E">
        <w:tc>
          <w:tcPr>
            <w:tcW w:w="1232" w:type="pct"/>
            <w:tcBorders>
              <w:bottom w:val="single" w:sz="4" w:space="0" w:color="auto"/>
            </w:tcBorders>
            <w:vAlign w:val="bottom"/>
          </w:tcPr>
          <w:p w14:paraId="66221A72" w14:textId="77777777" w:rsidR="00A17AE6" w:rsidRPr="00FA486E" w:rsidRDefault="00A17AE6" w:rsidP="00A17AE6">
            <w:pPr>
              <w:pStyle w:val="Compact"/>
              <w:rPr>
                <w:lang w:val="en-GB"/>
              </w:rPr>
            </w:pPr>
          </w:p>
        </w:tc>
        <w:tc>
          <w:tcPr>
            <w:tcW w:w="1884" w:type="pct"/>
            <w:tcBorders>
              <w:bottom w:val="single" w:sz="4" w:space="0" w:color="auto"/>
            </w:tcBorders>
            <w:vAlign w:val="bottom"/>
          </w:tcPr>
          <w:p w14:paraId="455D7C3A" w14:textId="52DADD63" w:rsidR="00A17AE6" w:rsidRPr="00FA486E" w:rsidRDefault="00A17AE6" w:rsidP="00A17AE6">
            <w:pPr>
              <w:pStyle w:val="Compact"/>
              <w:rPr>
                <w:b/>
                <w:lang w:val="en-GB"/>
              </w:rPr>
            </w:pPr>
            <w:r w:rsidRPr="009C10D5">
              <w:rPr>
                <w:b/>
                <w:lang w:val="en-GB"/>
              </w:rPr>
              <w:t>Multicentre</w:t>
            </w:r>
            <w:r>
              <w:rPr>
                <w:b/>
                <w:lang w:val="en-GB"/>
              </w:rPr>
              <w:t xml:space="preserve"> model in single centre </w:t>
            </w:r>
            <w:r w:rsidR="00A24ECC">
              <w:rPr>
                <w:b/>
                <w:lang w:val="en-GB"/>
              </w:rPr>
              <w:t xml:space="preserve">validation </w:t>
            </w:r>
            <w:r w:rsidR="00A24ECC" w:rsidRPr="00DB6ACF">
              <w:rPr>
                <w:b/>
                <w:lang w:val="en-GB"/>
              </w:rPr>
              <w:t>sample</w:t>
            </w:r>
            <w:r w:rsidR="00A24ECC" w:rsidRPr="00A405BD" w:rsidDel="00065FFE">
              <w:rPr>
                <w:b/>
                <w:lang w:val="en-GB"/>
              </w:rPr>
              <w:t xml:space="preserve"> </w:t>
            </w:r>
          </w:p>
        </w:tc>
        <w:tc>
          <w:tcPr>
            <w:tcW w:w="1884" w:type="pct"/>
            <w:tcBorders>
              <w:bottom w:val="single" w:sz="4" w:space="0" w:color="auto"/>
            </w:tcBorders>
            <w:vAlign w:val="bottom"/>
          </w:tcPr>
          <w:p w14:paraId="2E739DBB" w14:textId="316BFB94" w:rsidR="00A17AE6" w:rsidRPr="00FA486E" w:rsidRDefault="00A17AE6" w:rsidP="00A17AE6">
            <w:pPr>
              <w:pStyle w:val="Compact"/>
              <w:rPr>
                <w:b/>
                <w:lang w:val="en-GB"/>
              </w:rPr>
            </w:pPr>
            <w:r w:rsidRPr="009C10D5">
              <w:rPr>
                <w:b/>
                <w:lang w:val="en-GB"/>
              </w:rPr>
              <w:t>Single centre</w:t>
            </w:r>
            <w:r>
              <w:rPr>
                <w:b/>
                <w:lang w:val="en-GB"/>
              </w:rPr>
              <w:t xml:space="preserve"> model in multicentre </w:t>
            </w:r>
            <w:r w:rsidR="00A24ECC">
              <w:rPr>
                <w:b/>
                <w:lang w:val="en-GB"/>
              </w:rPr>
              <w:t xml:space="preserve">validation </w:t>
            </w:r>
            <w:r w:rsidR="00A24ECC" w:rsidRPr="00DB6ACF">
              <w:rPr>
                <w:b/>
                <w:lang w:val="en-GB"/>
              </w:rPr>
              <w:t>sample</w:t>
            </w:r>
            <w:r w:rsidR="00A24ECC" w:rsidRPr="00A405BD" w:rsidDel="00065FFE">
              <w:rPr>
                <w:b/>
                <w:lang w:val="en-GB"/>
              </w:rPr>
              <w:t xml:space="preserve"> </w:t>
            </w:r>
          </w:p>
        </w:tc>
      </w:tr>
      <w:tr w:rsidR="007451B4" w:rsidRPr="00A405BD" w14:paraId="38EC6F12" w14:textId="77777777" w:rsidTr="00FA486E">
        <w:tc>
          <w:tcPr>
            <w:tcW w:w="1232" w:type="pct"/>
            <w:tcBorders>
              <w:top w:val="single" w:sz="4" w:space="0" w:color="auto"/>
            </w:tcBorders>
          </w:tcPr>
          <w:p w14:paraId="7CDEB2DD" w14:textId="169F23BA" w:rsidR="007451B4" w:rsidRPr="00FA486E" w:rsidRDefault="007451B4" w:rsidP="007451B4">
            <w:pPr>
              <w:pStyle w:val="Compact"/>
              <w:rPr>
                <w:lang w:val="en-GB"/>
              </w:rPr>
            </w:pPr>
            <w:r w:rsidRPr="006059FB">
              <w:t>Mistriage</w:t>
            </w:r>
          </w:p>
        </w:tc>
        <w:tc>
          <w:tcPr>
            <w:tcW w:w="1884" w:type="pct"/>
            <w:tcBorders>
              <w:top w:val="single" w:sz="4" w:space="0" w:color="auto"/>
            </w:tcBorders>
          </w:tcPr>
          <w:p w14:paraId="0680B89B" w14:textId="722A4A91" w:rsidR="007451B4" w:rsidRPr="00FA486E" w:rsidRDefault="007451B4" w:rsidP="007451B4">
            <w:pPr>
              <w:pStyle w:val="Compact"/>
              <w:rPr>
                <w:lang w:val="en-GB"/>
              </w:rPr>
            </w:pPr>
            <w:r w:rsidRPr="006059FB">
              <w:t>-0.25 (-0.21 - 0.04)</w:t>
            </w:r>
          </w:p>
        </w:tc>
        <w:tc>
          <w:tcPr>
            <w:tcW w:w="1884" w:type="pct"/>
            <w:tcBorders>
              <w:top w:val="single" w:sz="4" w:space="0" w:color="auto"/>
            </w:tcBorders>
          </w:tcPr>
          <w:p w14:paraId="1336D094" w14:textId="5B7B9F20" w:rsidR="007451B4" w:rsidRPr="00FA486E" w:rsidRDefault="007451B4" w:rsidP="007451B4">
            <w:pPr>
              <w:pStyle w:val="Compact"/>
              <w:rPr>
                <w:lang w:val="en-GB"/>
              </w:rPr>
            </w:pPr>
            <w:r w:rsidRPr="006059FB">
              <w:t>0.29 (0.13 - 0.39)</w:t>
            </w:r>
          </w:p>
        </w:tc>
      </w:tr>
      <w:tr w:rsidR="007451B4" w:rsidRPr="00A405BD" w14:paraId="11744E9E" w14:textId="77777777" w:rsidTr="007451B4">
        <w:tc>
          <w:tcPr>
            <w:tcW w:w="1232" w:type="pct"/>
          </w:tcPr>
          <w:p w14:paraId="616DCCF2" w14:textId="3094719B" w:rsidR="007451B4" w:rsidRPr="00FA486E" w:rsidRDefault="007451B4" w:rsidP="007451B4">
            <w:pPr>
              <w:pStyle w:val="Compact"/>
              <w:rPr>
                <w:lang w:val="en-GB"/>
              </w:rPr>
            </w:pPr>
            <w:r w:rsidRPr="006059FB">
              <w:t>Undertriage</w:t>
            </w:r>
          </w:p>
        </w:tc>
        <w:tc>
          <w:tcPr>
            <w:tcW w:w="1884" w:type="pct"/>
          </w:tcPr>
          <w:p w14:paraId="4C5C3DB9" w14:textId="49D71F20" w:rsidR="007451B4" w:rsidRPr="00FA486E" w:rsidRDefault="007451B4" w:rsidP="007451B4">
            <w:pPr>
              <w:pStyle w:val="Compact"/>
              <w:rPr>
                <w:lang w:val="en-GB"/>
              </w:rPr>
            </w:pPr>
            <w:r w:rsidRPr="006059FB">
              <w:t>0.04 (-0.00 - 0.05)</w:t>
            </w:r>
          </w:p>
        </w:tc>
        <w:tc>
          <w:tcPr>
            <w:tcW w:w="1884" w:type="pct"/>
          </w:tcPr>
          <w:p w14:paraId="09B8CBEF" w14:textId="5CD1E3F8" w:rsidR="007451B4" w:rsidRPr="00FA486E" w:rsidRDefault="007451B4" w:rsidP="007451B4">
            <w:pPr>
              <w:pStyle w:val="Compact"/>
              <w:rPr>
                <w:lang w:val="en-GB"/>
              </w:rPr>
            </w:pPr>
            <w:r w:rsidRPr="006059FB">
              <w:t>-0.04 (-0.05 - -0.02)</w:t>
            </w:r>
          </w:p>
        </w:tc>
      </w:tr>
      <w:tr w:rsidR="007451B4" w:rsidRPr="00A405BD" w14:paraId="58524447" w14:textId="77777777" w:rsidTr="007451B4">
        <w:tc>
          <w:tcPr>
            <w:tcW w:w="1232" w:type="pct"/>
          </w:tcPr>
          <w:p w14:paraId="35F8BF1E" w14:textId="7B2376A9" w:rsidR="007451B4" w:rsidRPr="00FA486E" w:rsidRDefault="007451B4" w:rsidP="007451B4">
            <w:pPr>
              <w:pStyle w:val="Compact"/>
              <w:rPr>
                <w:lang w:val="en-GB"/>
              </w:rPr>
            </w:pPr>
            <w:r w:rsidRPr="006059FB">
              <w:t>Overtriage</w:t>
            </w:r>
          </w:p>
        </w:tc>
        <w:tc>
          <w:tcPr>
            <w:tcW w:w="1884" w:type="pct"/>
          </w:tcPr>
          <w:p w14:paraId="22C8B2D3" w14:textId="1A8C1BDF" w:rsidR="007451B4" w:rsidRPr="00FA486E" w:rsidRDefault="007451B4" w:rsidP="007451B4">
            <w:pPr>
              <w:pStyle w:val="Compact"/>
              <w:rPr>
                <w:lang w:val="en-GB"/>
              </w:rPr>
            </w:pPr>
            <w:r w:rsidRPr="006059FB">
              <w:t>-0.29 (-0.25 - 0.04)</w:t>
            </w:r>
          </w:p>
        </w:tc>
        <w:tc>
          <w:tcPr>
            <w:tcW w:w="1884" w:type="pct"/>
          </w:tcPr>
          <w:p w14:paraId="088102BA" w14:textId="0C15F1D6" w:rsidR="007451B4" w:rsidRPr="00FA486E" w:rsidRDefault="007451B4" w:rsidP="007451B4">
            <w:pPr>
              <w:pStyle w:val="Compact"/>
              <w:rPr>
                <w:lang w:val="en-GB"/>
              </w:rPr>
            </w:pPr>
            <w:r w:rsidRPr="006059FB">
              <w:t>0.33 (0.15 - 0.44)</w:t>
            </w:r>
          </w:p>
        </w:tc>
      </w:tr>
    </w:tbl>
    <w:p w14:paraId="67124629" w14:textId="77777777" w:rsidR="00161F40" w:rsidRPr="00FA486E" w:rsidRDefault="00C406B5" w:rsidP="00D0566F">
      <w:pPr>
        <w:pStyle w:val="Rubrik1"/>
        <w:spacing w:line="360" w:lineRule="auto"/>
        <w:rPr>
          <w:lang w:val="en-GB"/>
        </w:rPr>
      </w:pPr>
      <w:bookmarkStart w:id="27" w:name="discussion"/>
      <w:bookmarkEnd w:id="27"/>
      <w:r w:rsidRPr="00FA486E">
        <w:rPr>
          <w:lang w:val="en-GB"/>
        </w:rPr>
        <w:t>Discussion</w:t>
      </w:r>
    </w:p>
    <w:p w14:paraId="6AA78B3B" w14:textId="505B08BA" w:rsidR="00962C01" w:rsidRDefault="00C406B5" w:rsidP="00962C01">
      <w:pPr>
        <w:pStyle w:val="FirstParagraph"/>
        <w:spacing w:line="360" w:lineRule="auto"/>
        <w:rPr>
          <w:lang w:val="en-GB"/>
        </w:rPr>
      </w:pPr>
      <w:r w:rsidRPr="00FA486E">
        <w:rPr>
          <w:lang w:val="en-GB"/>
        </w:rPr>
        <w:t>This study aimed to assess how transfers of clinical prediction models for early trauma care between different contexts within a single health system affect mistriage rates.</w:t>
      </w:r>
    </w:p>
    <w:p w14:paraId="6AFD751C" w14:textId="77594826" w:rsidR="00161F40" w:rsidRPr="00FA486E" w:rsidRDefault="00C406B5" w:rsidP="00D0566F">
      <w:pPr>
        <w:pStyle w:val="Brdtext"/>
        <w:spacing w:line="360" w:lineRule="auto"/>
        <w:rPr>
          <w:lang w:val="en-GB"/>
        </w:rPr>
      </w:pPr>
      <w:r w:rsidRPr="00FA486E">
        <w:rPr>
          <w:lang w:val="en-GB"/>
        </w:rPr>
        <w:t xml:space="preserve">The most notable effect on model performance following model transfer was observed after transferring the </w:t>
      </w:r>
      <w:r w:rsidR="00905B6A">
        <w:rPr>
          <w:lang w:val="en-GB"/>
        </w:rPr>
        <w:t>single centre</w:t>
      </w:r>
      <w:r w:rsidRPr="00FA486E">
        <w:rPr>
          <w:lang w:val="en-GB"/>
        </w:rPr>
        <w:t xml:space="preserve"> model. This transfer resulted in an increased mistriage rate of 0.</w:t>
      </w:r>
      <w:r w:rsidR="00905B6A">
        <w:rPr>
          <w:lang w:val="en-GB"/>
        </w:rPr>
        <w:t>29</w:t>
      </w:r>
      <w:r w:rsidRPr="00FA486E">
        <w:rPr>
          <w:lang w:val="en-GB"/>
        </w:rPr>
        <w:t xml:space="preserve">. Mainly contributing to this was an increase in overtriage. In contrast, the transfer of the </w:t>
      </w:r>
      <w:r w:rsidR="00905B6A">
        <w:rPr>
          <w:lang w:val="en-GB"/>
        </w:rPr>
        <w:t>multicentre</w:t>
      </w:r>
      <w:r w:rsidRPr="00FA486E">
        <w:rPr>
          <w:lang w:val="en-GB"/>
        </w:rPr>
        <w:t xml:space="preserve"> model to the </w:t>
      </w:r>
      <w:r w:rsidR="00905B6A">
        <w:rPr>
          <w:lang w:val="en-GB"/>
        </w:rPr>
        <w:t>single centre</w:t>
      </w:r>
      <w:r w:rsidR="00A24ECC">
        <w:rPr>
          <w:lang w:val="en-GB"/>
        </w:rPr>
        <w:t xml:space="preserve"> validation</w:t>
      </w:r>
      <w:r w:rsidRPr="00FA486E">
        <w:rPr>
          <w:lang w:val="en-GB"/>
        </w:rPr>
        <w:t xml:space="preserve"> sample reduced mistriage, primarily due to reduced overtriage.</w:t>
      </w:r>
      <w:r w:rsidR="007B27AB">
        <w:rPr>
          <w:lang w:val="en-GB"/>
        </w:rPr>
        <w:t xml:space="preserve"> Interestingly, these transfers also seemed to have the opposite effect on undertriage</w:t>
      </w:r>
      <w:r w:rsidR="00530238">
        <w:rPr>
          <w:lang w:val="en-GB"/>
        </w:rPr>
        <w:t>, leading to decreased and increased undertriage respectively</w:t>
      </w:r>
      <w:r w:rsidR="00E84106">
        <w:rPr>
          <w:lang w:val="en-GB"/>
        </w:rPr>
        <w:t>.</w:t>
      </w:r>
    </w:p>
    <w:p w14:paraId="21B7BF54" w14:textId="24D668D7" w:rsidR="00962C01" w:rsidRDefault="00962C01" w:rsidP="00D0566F">
      <w:pPr>
        <w:pStyle w:val="Brdtext"/>
        <w:spacing w:line="360" w:lineRule="auto"/>
        <w:rPr>
          <w:lang w:val="en-GB"/>
        </w:rPr>
      </w:pPr>
      <w:r>
        <w:rPr>
          <w:lang w:val="en-GB"/>
        </w:rPr>
        <w:t xml:space="preserve">In all samples, model transfer led to either increased or decreased mistriage. The model transfers which led to reduced mistriage also led to increased undertriage. In other words, all model transfers led to </w:t>
      </w:r>
      <w:r w:rsidR="00104AC9">
        <w:rPr>
          <w:lang w:val="en-GB"/>
        </w:rPr>
        <w:t>adverse</w:t>
      </w:r>
      <w:r>
        <w:rPr>
          <w:lang w:val="en-GB"/>
        </w:rPr>
        <w:t xml:space="preserve"> outcomes, either by </w:t>
      </w:r>
      <w:r w:rsidR="00104AC9">
        <w:rPr>
          <w:lang w:val="en-GB"/>
        </w:rPr>
        <w:t>a large increase in overtriage, or by a smaller increase in undertriage, which could be considered more</w:t>
      </w:r>
      <w:r w:rsidR="00A24ECC">
        <w:rPr>
          <w:lang w:val="en-GB"/>
        </w:rPr>
        <w:t xml:space="preserve"> clinically</w:t>
      </w:r>
      <w:r w:rsidR="00104AC9">
        <w:rPr>
          <w:lang w:val="en-GB"/>
        </w:rPr>
        <w:t xml:space="preserve"> severe. In general, transferring from centres with a high volume of patients seemed to reduce mistriage.</w:t>
      </w:r>
    </w:p>
    <w:p w14:paraId="46D4F4C4" w14:textId="40EBC3AE" w:rsidR="00530238" w:rsidRDefault="00C406B5" w:rsidP="00D0566F">
      <w:pPr>
        <w:pStyle w:val="Brdtext"/>
        <w:spacing w:line="360" w:lineRule="auto"/>
        <w:rPr>
          <w:lang w:val="en-GB"/>
        </w:rPr>
      </w:pPr>
      <w:r w:rsidRPr="00FA486E">
        <w:rPr>
          <w:lang w:val="en-GB"/>
        </w:rPr>
        <w:t>In a clinical context, this</w:t>
      </w:r>
      <w:r w:rsidR="00104AC9">
        <w:rPr>
          <w:lang w:val="en-GB"/>
        </w:rPr>
        <w:t xml:space="preserve"> could</w:t>
      </w:r>
      <w:r w:rsidRPr="00FA486E">
        <w:rPr>
          <w:lang w:val="en-GB"/>
        </w:rPr>
        <w:t xml:space="preserve"> suggest that clinical prediction models for early trauma care </w:t>
      </w:r>
      <w:r w:rsidR="00530238">
        <w:rPr>
          <w:lang w:val="en-GB"/>
        </w:rPr>
        <w:t>could</w:t>
      </w:r>
      <w:r w:rsidR="00530238" w:rsidRPr="00FA486E">
        <w:rPr>
          <w:lang w:val="en-GB"/>
        </w:rPr>
        <w:t xml:space="preserve"> </w:t>
      </w:r>
      <w:r w:rsidRPr="00FA486E">
        <w:rPr>
          <w:lang w:val="en-GB"/>
        </w:rPr>
        <w:t xml:space="preserve">be developed in settings with a high number of trauma patients. These models could then be </w:t>
      </w:r>
      <w:r w:rsidRPr="00FA486E">
        <w:rPr>
          <w:lang w:val="en-GB"/>
        </w:rPr>
        <w:lastRenderedPageBreak/>
        <w:t xml:space="preserve">transferred to settings with less trauma patients, which </w:t>
      </w:r>
      <w:r w:rsidR="00EB2C8F">
        <w:rPr>
          <w:lang w:val="en-GB"/>
        </w:rPr>
        <w:t>could</w:t>
      </w:r>
      <w:r w:rsidRPr="00FA486E">
        <w:rPr>
          <w:lang w:val="en-GB"/>
        </w:rPr>
        <w:t xml:space="preserve"> result in a decreased mistriage rate. </w:t>
      </w:r>
      <w:r w:rsidR="00530238">
        <w:rPr>
          <w:lang w:val="en-GB"/>
        </w:rPr>
        <w:t>However,</w:t>
      </w:r>
      <w:r w:rsidR="004A14D0">
        <w:rPr>
          <w:lang w:val="en-GB"/>
        </w:rPr>
        <w:t xml:space="preserve"> the results of</w:t>
      </w:r>
      <w:r w:rsidR="00530238">
        <w:rPr>
          <w:lang w:val="en-GB"/>
        </w:rPr>
        <w:t xml:space="preserve"> this study also </w:t>
      </w:r>
      <w:r w:rsidR="00104AC9">
        <w:rPr>
          <w:lang w:val="en-GB"/>
        </w:rPr>
        <w:t>show</w:t>
      </w:r>
      <w:r w:rsidR="00530238">
        <w:rPr>
          <w:lang w:val="en-GB"/>
        </w:rPr>
        <w:t xml:space="preserve"> this might lead to increased undertriage, which in a clinical context is unacceptable due to the potentially catastrophic patient consequences.</w:t>
      </w:r>
    </w:p>
    <w:p w14:paraId="658D8535" w14:textId="7B4CA7F9" w:rsidR="00161F40" w:rsidRPr="00FA486E" w:rsidRDefault="00C406B5" w:rsidP="00D0566F">
      <w:pPr>
        <w:pStyle w:val="Brdtext"/>
        <w:spacing w:line="360" w:lineRule="auto"/>
        <w:rPr>
          <w:lang w:val="en-GB"/>
        </w:rPr>
      </w:pPr>
      <w:r w:rsidRPr="00FA486E">
        <w:rPr>
          <w:lang w:val="en-GB"/>
        </w:rPr>
        <w:t xml:space="preserve">In 2018, </w:t>
      </w:r>
      <w:proofErr w:type="spellStart"/>
      <w:r w:rsidRPr="00FA486E">
        <w:rPr>
          <w:lang w:val="en-GB"/>
        </w:rPr>
        <w:t>Granström</w:t>
      </w:r>
      <w:proofErr w:type="spellEnd"/>
      <w:r w:rsidRPr="00FA486E">
        <w:rPr>
          <w:lang w:val="en-GB"/>
        </w:rPr>
        <w:t xml:space="preserve"> et al. found that using a criteria-based triage system (i.e. a clinical prediction model) for trauma triage was effective in reducing overtriage without increasing mortality [7]. Therefore, improving clinical prediction models to reduce mistriage is clinically beneficial, potentially saving lives by minimizing undertriage, and likely saving resources by minimizing overtriage.</w:t>
      </w:r>
    </w:p>
    <w:p w14:paraId="013C3C17" w14:textId="6F374FEB" w:rsidR="00161F40" w:rsidRPr="00FA486E" w:rsidRDefault="00C406B5" w:rsidP="00D0566F">
      <w:pPr>
        <w:pStyle w:val="Brdtext"/>
        <w:spacing w:line="360" w:lineRule="auto"/>
        <w:rPr>
          <w:lang w:val="en-GB"/>
        </w:rPr>
      </w:pPr>
      <w:r w:rsidRPr="00FA486E">
        <w:rPr>
          <w:lang w:val="en-GB"/>
        </w:rPr>
        <w:t>The transfer of clinical prediction models in trauma care has not previously been studied extensively. In 2016, Gerdin et al. found that model transfer adversely affected model performance in terms of calibration but that this could be improved by updating the model [9].</w:t>
      </w:r>
      <w:r w:rsidR="00915054">
        <w:rPr>
          <w:lang w:val="en-GB"/>
        </w:rPr>
        <w:t xml:space="preserve"> The aim of this study was to assess the effects of model transfer on mistriage, and therefore model calibration was not evaluated, neither were the effects of model updating.  </w:t>
      </w:r>
    </w:p>
    <w:p w14:paraId="5C668838" w14:textId="18E693A8" w:rsidR="00EB2C8F" w:rsidRDefault="00C406B5" w:rsidP="00D0566F">
      <w:pPr>
        <w:pStyle w:val="Brdtext"/>
        <w:spacing w:line="360" w:lineRule="auto"/>
        <w:rPr>
          <w:lang w:val="en-GB"/>
        </w:rPr>
      </w:pPr>
      <w:r w:rsidRPr="00FA486E">
        <w:rPr>
          <w:lang w:val="en-GB"/>
        </w:rPr>
        <w:t>External validation has been studied more extensively. Studies using simulated clinical prediction models based on different predictors showed a decline in model performance when externally validated [2</w:t>
      </w:r>
      <w:r w:rsidR="00933FB1">
        <w:rPr>
          <w:lang w:val="en-GB"/>
        </w:rPr>
        <w:t>6</w:t>
      </w:r>
      <w:r w:rsidRPr="00FA486E">
        <w:rPr>
          <w:lang w:val="en-GB"/>
        </w:rPr>
        <w:t xml:space="preserve">, </w:t>
      </w:r>
      <w:r w:rsidR="00933FB1">
        <w:rPr>
          <w:lang w:val="en-GB"/>
        </w:rPr>
        <w:t>28</w:t>
      </w:r>
      <w:r w:rsidRPr="00FA486E">
        <w:rPr>
          <w:lang w:val="en-GB"/>
        </w:rPr>
        <w:t xml:space="preserve">]. A study from </w:t>
      </w:r>
      <w:r w:rsidR="008253AA" w:rsidRPr="00FA486E">
        <w:rPr>
          <w:lang w:val="en-GB"/>
        </w:rPr>
        <w:t>201</w:t>
      </w:r>
      <w:r w:rsidR="008253AA">
        <w:rPr>
          <w:lang w:val="en-GB"/>
        </w:rPr>
        <w:t>9</w:t>
      </w:r>
      <w:r w:rsidR="008253AA" w:rsidRPr="00FA486E">
        <w:rPr>
          <w:lang w:val="en-GB"/>
        </w:rPr>
        <w:t xml:space="preserve"> </w:t>
      </w:r>
      <w:r w:rsidRPr="00FA486E">
        <w:rPr>
          <w:lang w:val="en-GB"/>
        </w:rPr>
        <w:t xml:space="preserve">examining the </w:t>
      </w:r>
      <w:r w:rsidR="008253AA">
        <w:rPr>
          <w:lang w:val="en-GB"/>
        </w:rPr>
        <w:t>risk prediction models</w:t>
      </w:r>
      <w:r w:rsidRPr="00FA486E">
        <w:rPr>
          <w:lang w:val="en-GB"/>
        </w:rPr>
        <w:t xml:space="preserve"> </w:t>
      </w:r>
      <w:r w:rsidR="008253AA">
        <w:rPr>
          <w:lang w:val="en-GB"/>
        </w:rPr>
        <w:t xml:space="preserve">in the management of acute kidney injury </w:t>
      </w:r>
      <w:r w:rsidRPr="00FA486E">
        <w:rPr>
          <w:lang w:val="en-GB"/>
        </w:rPr>
        <w:t>[</w:t>
      </w:r>
      <w:r w:rsidR="00933FB1">
        <w:rPr>
          <w:lang w:val="en-GB"/>
        </w:rPr>
        <w:t>29</w:t>
      </w:r>
      <w:r w:rsidRPr="00FA486E">
        <w:rPr>
          <w:lang w:val="en-GB"/>
        </w:rPr>
        <w:t xml:space="preserve">] </w:t>
      </w:r>
      <w:r w:rsidR="008253AA">
        <w:rPr>
          <w:lang w:val="en-GB"/>
        </w:rPr>
        <w:t>concluded</w:t>
      </w:r>
      <w:r w:rsidRPr="00FA486E">
        <w:rPr>
          <w:lang w:val="en-GB"/>
        </w:rPr>
        <w:t xml:space="preserve"> that </w:t>
      </w:r>
      <w:r w:rsidR="008253AA">
        <w:rPr>
          <w:lang w:val="en-GB"/>
        </w:rPr>
        <w:t>external validation often led to reduced model accuracy</w:t>
      </w:r>
      <w:r w:rsidRPr="00FA486E">
        <w:rPr>
          <w:lang w:val="en-GB"/>
        </w:rPr>
        <w:t xml:space="preserve">. </w:t>
      </w:r>
    </w:p>
    <w:p w14:paraId="7ED9FF2A" w14:textId="0E341B10" w:rsidR="00161F40" w:rsidRPr="00FA486E" w:rsidRDefault="00C406B5" w:rsidP="00D0566F">
      <w:pPr>
        <w:pStyle w:val="Brdtext"/>
        <w:spacing w:line="360" w:lineRule="auto"/>
        <w:rPr>
          <w:lang w:val="en-GB"/>
        </w:rPr>
      </w:pPr>
      <w:r w:rsidRPr="00FA486E">
        <w:rPr>
          <w:lang w:val="en-GB"/>
        </w:rPr>
        <w:t xml:space="preserve">The combined results of this study </w:t>
      </w:r>
      <w:r w:rsidR="00C61B86">
        <w:rPr>
          <w:lang w:val="en-GB"/>
        </w:rPr>
        <w:t xml:space="preserve">and </w:t>
      </w:r>
      <w:r w:rsidRPr="00FA486E">
        <w:rPr>
          <w:lang w:val="en-GB"/>
        </w:rPr>
        <w:t xml:space="preserve">the studies on model transfer and the studies on external validation would suggest indiscriminate model transfers could lead to detrimental clinical consequences, but also that clinically beneficial model transfers </w:t>
      </w:r>
      <w:r w:rsidR="00C61B86">
        <w:rPr>
          <w:lang w:val="en-GB"/>
        </w:rPr>
        <w:t>are possible</w:t>
      </w:r>
      <w:r w:rsidRPr="00FA486E">
        <w:rPr>
          <w:lang w:val="en-GB"/>
        </w:rPr>
        <w:t>.</w:t>
      </w:r>
      <w:r w:rsidR="00C61B86">
        <w:rPr>
          <w:lang w:val="en-GB"/>
        </w:rPr>
        <w:t xml:space="preserve"> The challenge then lies in knowing a priori what transfers that will lead to improved performance.</w:t>
      </w:r>
    </w:p>
    <w:p w14:paraId="0C1EF309" w14:textId="77777777" w:rsidR="00161F40" w:rsidRPr="00FA486E" w:rsidRDefault="00C406B5" w:rsidP="00D0566F">
      <w:pPr>
        <w:pStyle w:val="Rubrik2"/>
        <w:spacing w:line="360" w:lineRule="auto"/>
        <w:rPr>
          <w:lang w:val="en-GB"/>
        </w:rPr>
      </w:pPr>
      <w:bookmarkStart w:id="28" w:name="strengths-and-limitations"/>
      <w:bookmarkEnd w:id="28"/>
      <w:r w:rsidRPr="00FA486E">
        <w:rPr>
          <w:lang w:val="en-GB"/>
        </w:rPr>
        <w:t>Strengths and limitations</w:t>
      </w:r>
    </w:p>
    <w:p w14:paraId="1A5E5A31" w14:textId="77777777" w:rsidR="00161F40" w:rsidRPr="00FA486E" w:rsidRDefault="00C406B5" w:rsidP="00D0566F">
      <w:pPr>
        <w:pStyle w:val="Rubrik3"/>
        <w:spacing w:line="360" w:lineRule="auto"/>
        <w:rPr>
          <w:lang w:val="en-GB"/>
        </w:rPr>
      </w:pPr>
      <w:bookmarkStart w:id="29" w:name="strengths"/>
      <w:bookmarkEnd w:id="29"/>
      <w:r w:rsidRPr="00FA486E">
        <w:rPr>
          <w:lang w:val="en-GB"/>
        </w:rPr>
        <w:t>Strengths</w:t>
      </w:r>
    </w:p>
    <w:p w14:paraId="30B6CCF0" w14:textId="7FFEE98F" w:rsidR="00161F40" w:rsidRDefault="00C406B5" w:rsidP="00D0566F">
      <w:pPr>
        <w:pStyle w:val="FirstParagraph"/>
        <w:spacing w:line="360" w:lineRule="auto"/>
        <w:rPr>
          <w:lang w:val="en-GB"/>
        </w:rPr>
      </w:pPr>
      <w:r w:rsidRPr="00FA486E">
        <w:rPr>
          <w:lang w:val="en-GB"/>
        </w:rPr>
        <w:t>The study design realistically reflects potential model transfers</w:t>
      </w:r>
      <w:r w:rsidR="00C61B86">
        <w:rPr>
          <w:lang w:val="en-GB"/>
        </w:rPr>
        <w:t xml:space="preserve"> within early trauma care</w:t>
      </w:r>
      <w:r w:rsidRPr="00FA486E">
        <w:rPr>
          <w:lang w:val="en-GB"/>
        </w:rPr>
        <w:t xml:space="preserve">: clinical prediction models for trauma are usually </w:t>
      </w:r>
      <w:r w:rsidR="00EB2C8F">
        <w:rPr>
          <w:lang w:val="en-GB"/>
        </w:rPr>
        <w:t>applied in contexts different to the ones in which they were originally developed</w:t>
      </w:r>
      <w:r w:rsidRPr="00FA486E">
        <w:rPr>
          <w:lang w:val="en-GB"/>
        </w:rPr>
        <w:t>. The results should therefore be of practical importance.</w:t>
      </w:r>
    </w:p>
    <w:p w14:paraId="2DB09B31" w14:textId="02E61BFC" w:rsidR="000B3562" w:rsidRDefault="000B3562" w:rsidP="000B3562">
      <w:pPr>
        <w:pStyle w:val="Brdtext"/>
        <w:spacing w:line="360" w:lineRule="auto"/>
        <w:rPr>
          <w:lang w:val="en-GB"/>
        </w:rPr>
      </w:pPr>
      <w:r>
        <w:rPr>
          <w:lang w:val="en-GB"/>
        </w:rPr>
        <w:lastRenderedPageBreak/>
        <w:t xml:space="preserve">This study evaluated the performance of the clinical </w:t>
      </w:r>
      <w:r w:rsidR="004163EF">
        <w:rPr>
          <w:lang w:val="en-GB"/>
        </w:rPr>
        <w:t>prediction</w:t>
      </w:r>
      <w:r>
        <w:rPr>
          <w:lang w:val="en-GB"/>
        </w:rPr>
        <w:t xml:space="preserve"> models using over- and undertriage</w:t>
      </w:r>
      <w:r w:rsidR="004163EF">
        <w:rPr>
          <w:lang w:val="en-GB"/>
        </w:rPr>
        <w:t>. This was done in order to more accurately map model performance after transfer using clinically relevant measurements. Traditional performance measures such as discrimination and calibration were omitted, as these are already well studied.</w:t>
      </w:r>
    </w:p>
    <w:p w14:paraId="6FE0E36F" w14:textId="77777777" w:rsidR="00161F40" w:rsidRPr="00FA486E" w:rsidRDefault="00C406B5">
      <w:pPr>
        <w:pStyle w:val="Rubrik3"/>
        <w:spacing w:line="360" w:lineRule="auto"/>
        <w:rPr>
          <w:lang w:val="en-GB"/>
        </w:rPr>
      </w:pPr>
      <w:bookmarkStart w:id="30" w:name="limitations"/>
      <w:bookmarkEnd w:id="30"/>
      <w:r w:rsidRPr="00FA486E">
        <w:rPr>
          <w:lang w:val="en-GB"/>
        </w:rPr>
        <w:t>Limitations</w:t>
      </w:r>
    </w:p>
    <w:p w14:paraId="061184EA" w14:textId="7B988503" w:rsidR="00915054" w:rsidRDefault="00C406B5">
      <w:pPr>
        <w:pStyle w:val="FirstParagraph"/>
        <w:spacing w:line="360" w:lineRule="auto"/>
        <w:rPr>
          <w:lang w:val="en-GB"/>
        </w:rPr>
      </w:pPr>
      <w:r w:rsidRPr="00FA486E">
        <w:rPr>
          <w:lang w:val="en-GB"/>
        </w:rPr>
        <w:t>Originally, all single centres with a valid number of events were to constitute a dataset</w:t>
      </w:r>
      <w:r w:rsidR="00972842">
        <w:rPr>
          <w:lang w:val="en-GB"/>
        </w:rPr>
        <w:t xml:space="preserve"> group</w:t>
      </w:r>
      <w:r w:rsidRPr="00FA486E">
        <w:rPr>
          <w:lang w:val="en-GB"/>
        </w:rPr>
        <w:t xml:space="preserve">, but only one centre provided a sufficient number of events, leading to the loss of the individual </w:t>
      </w:r>
      <w:proofErr w:type="gramStart"/>
      <w:r w:rsidRPr="00FA486E">
        <w:rPr>
          <w:lang w:val="en-GB"/>
        </w:rPr>
        <w:t>centres</w:t>
      </w:r>
      <w:proofErr w:type="gramEnd"/>
      <w:r w:rsidRPr="00FA486E">
        <w:rPr>
          <w:lang w:val="en-GB"/>
        </w:rPr>
        <w:t xml:space="preserve"> dataset</w:t>
      </w:r>
      <w:r w:rsidR="00972842">
        <w:rPr>
          <w:lang w:val="en-GB"/>
        </w:rPr>
        <w:t xml:space="preserve"> group</w:t>
      </w:r>
      <w:r w:rsidRPr="00FA486E">
        <w:rPr>
          <w:lang w:val="en-GB"/>
        </w:rPr>
        <w:t>.</w:t>
      </w:r>
    </w:p>
    <w:p w14:paraId="02471BFF" w14:textId="5F2F0265" w:rsidR="00EA6CE0" w:rsidRPr="00FA486E" w:rsidRDefault="00EE1547" w:rsidP="00FA486E">
      <w:pPr>
        <w:pStyle w:val="Brdtext"/>
        <w:spacing w:line="360" w:lineRule="auto"/>
        <w:rPr>
          <w:lang w:val="en-GB"/>
        </w:rPr>
      </w:pPr>
      <w:r>
        <w:rPr>
          <w:lang w:val="en-GB"/>
        </w:rPr>
        <w:t>Another limitation was the</w:t>
      </w:r>
      <w:r w:rsidR="00EA6CE0">
        <w:rPr>
          <w:lang w:val="en-GB"/>
        </w:rPr>
        <w:t xml:space="preserve"> method chosen to identify the </w:t>
      </w:r>
      <w:proofErr w:type="spellStart"/>
      <w:r w:rsidR="00EA6CE0">
        <w:rPr>
          <w:lang w:val="en-GB"/>
        </w:rPr>
        <w:t>cutoff</w:t>
      </w:r>
      <w:proofErr w:type="spellEnd"/>
      <w:r>
        <w:rPr>
          <w:lang w:val="en-GB"/>
        </w:rPr>
        <w:t>:</w:t>
      </w:r>
      <w:r w:rsidR="00EA6CE0">
        <w:rPr>
          <w:lang w:val="en-GB"/>
        </w:rPr>
        <w:t xml:space="preserve"> </w:t>
      </w:r>
      <w:r>
        <w:rPr>
          <w:lang w:val="en-GB"/>
        </w:rPr>
        <w:t xml:space="preserve">minimizing overtriage while </w:t>
      </w:r>
      <w:r w:rsidR="00C61B86">
        <w:rPr>
          <w:lang w:val="en-GB"/>
        </w:rPr>
        <w:t xml:space="preserve">attempting to </w:t>
      </w:r>
      <w:r>
        <w:rPr>
          <w:lang w:val="en-GB"/>
        </w:rPr>
        <w:t xml:space="preserve">keep undertriage at &lt;5% is dependent on the frequency of major trauma in the sample. This will lead to unstable </w:t>
      </w:r>
      <w:proofErr w:type="spellStart"/>
      <w:r>
        <w:rPr>
          <w:lang w:val="en-GB"/>
        </w:rPr>
        <w:t>cutoffs</w:t>
      </w:r>
      <w:proofErr w:type="spellEnd"/>
      <w:r>
        <w:rPr>
          <w:lang w:val="en-GB"/>
        </w:rPr>
        <w:t xml:space="preserve">, as the incidence of major trauma differs between the samples.   </w:t>
      </w:r>
    </w:p>
    <w:p w14:paraId="1470E085" w14:textId="77777777" w:rsidR="00161F40" w:rsidRPr="00FA486E" w:rsidRDefault="00C406B5">
      <w:pPr>
        <w:pStyle w:val="Rubrik2"/>
        <w:spacing w:line="360" w:lineRule="auto"/>
        <w:rPr>
          <w:lang w:val="en-GB"/>
        </w:rPr>
      </w:pPr>
      <w:bookmarkStart w:id="31" w:name="conclusion"/>
      <w:bookmarkEnd w:id="31"/>
      <w:r w:rsidRPr="00FA486E">
        <w:rPr>
          <w:lang w:val="en-GB"/>
        </w:rPr>
        <w:t>Conclusion</w:t>
      </w:r>
    </w:p>
    <w:p w14:paraId="4ED4C6F6" w14:textId="487EDE2A" w:rsidR="001312BF" w:rsidRPr="00FA486E" w:rsidRDefault="00CF39A4" w:rsidP="00FA486E">
      <w:pPr>
        <w:pStyle w:val="FirstParagraph"/>
        <w:spacing w:line="360" w:lineRule="auto"/>
        <w:rPr>
          <w:rFonts w:eastAsiaTheme="majorEastAsia" w:cstheme="majorBidi"/>
          <w:b/>
          <w:bCs/>
          <w:color w:val="000000" w:themeColor="text1"/>
          <w:sz w:val="32"/>
          <w:szCs w:val="32"/>
          <w:lang w:val="en-GB"/>
        </w:rPr>
      </w:pPr>
      <w:r>
        <w:rPr>
          <w:lang w:val="en-GB"/>
        </w:rPr>
        <w:t xml:space="preserve">Depending on the care context, model transfer lead to either increased </w:t>
      </w:r>
      <w:r w:rsidR="00972842">
        <w:rPr>
          <w:lang w:val="en-GB"/>
        </w:rPr>
        <w:t>or</w:t>
      </w:r>
      <w:r>
        <w:rPr>
          <w:lang w:val="en-GB"/>
        </w:rPr>
        <w:t xml:space="preserve"> decreased mistriage. </w:t>
      </w:r>
      <w:r w:rsidR="007B27AB">
        <w:rPr>
          <w:lang w:val="en-GB"/>
        </w:rPr>
        <w:t xml:space="preserve">Both over- and undertriage were affected by model transfer, and the effects on mistriage were in all cases primarily due to changes in overtriage. </w:t>
      </w:r>
      <w:r w:rsidR="009B4F4E">
        <w:rPr>
          <w:lang w:val="en-GB"/>
        </w:rPr>
        <w:t>Datasets</w:t>
      </w:r>
      <w:r w:rsidR="00C406B5" w:rsidRPr="00FA486E">
        <w:rPr>
          <w:lang w:val="en-GB"/>
        </w:rPr>
        <w:t xml:space="preserve"> with a high number of patients had the lowest mistriage both during validation</w:t>
      </w:r>
      <w:r w:rsidR="007B27AB">
        <w:rPr>
          <w:lang w:val="en-GB"/>
        </w:rPr>
        <w:t>,</w:t>
      </w:r>
      <w:r w:rsidR="00C406B5" w:rsidRPr="00FA486E">
        <w:rPr>
          <w:lang w:val="en-GB"/>
        </w:rPr>
        <w:t xml:space="preserve"> and after transfer to the </w:t>
      </w:r>
      <w:r w:rsidR="009B4F4E">
        <w:rPr>
          <w:lang w:val="en-GB"/>
        </w:rPr>
        <w:t>validation</w:t>
      </w:r>
      <w:r w:rsidR="00C406B5" w:rsidRPr="00FA486E">
        <w:rPr>
          <w:lang w:val="en-GB"/>
        </w:rPr>
        <w:t xml:space="preserve"> sample in the</w:t>
      </w:r>
      <w:r w:rsidR="009B4F4E">
        <w:rPr>
          <w:lang w:val="en-GB"/>
        </w:rPr>
        <w:t xml:space="preserve"> other</w:t>
      </w:r>
      <w:r w:rsidR="00C406B5" w:rsidRPr="00FA486E">
        <w:rPr>
          <w:lang w:val="en-GB"/>
        </w:rPr>
        <w:t xml:space="preserve"> dataset.</w:t>
      </w:r>
      <w:r w:rsidR="007B27AB">
        <w:rPr>
          <w:lang w:val="en-GB"/>
        </w:rPr>
        <w:t xml:space="preserve"> However, the transfer of these models (while improving mistriage) also lead to increased undertriage. </w:t>
      </w:r>
      <w:r w:rsidR="00C406B5" w:rsidRPr="00FA486E">
        <w:rPr>
          <w:lang w:val="en-GB"/>
        </w:rPr>
        <w:t xml:space="preserve">The opposite was also true, and the transfer of the low-volume model led to a significantly increased </w:t>
      </w:r>
      <w:r w:rsidR="007B27AB" w:rsidRPr="00A405BD">
        <w:rPr>
          <w:lang w:val="en-GB"/>
        </w:rPr>
        <w:t>mistriage,</w:t>
      </w:r>
      <w:r w:rsidR="007B27AB">
        <w:rPr>
          <w:lang w:val="en-GB"/>
        </w:rPr>
        <w:t xml:space="preserve"> </w:t>
      </w:r>
      <w:r w:rsidR="007B27AB" w:rsidRPr="00A405BD">
        <w:rPr>
          <w:lang w:val="en-GB"/>
        </w:rPr>
        <w:t>noting</w:t>
      </w:r>
      <w:r w:rsidR="00C406B5" w:rsidRPr="00FA486E">
        <w:rPr>
          <w:lang w:val="en-GB"/>
        </w:rPr>
        <w:t xml:space="preserve"> that this observation was associated with considerable uncertainty. Recognizing the limitations of this study, </w:t>
      </w:r>
      <w:r w:rsidR="00C61B86">
        <w:rPr>
          <w:lang w:val="en-GB"/>
        </w:rPr>
        <w:t>we</w:t>
      </w:r>
      <w:r w:rsidR="00C406B5" w:rsidRPr="00FA486E">
        <w:rPr>
          <w:lang w:val="en-GB"/>
        </w:rPr>
        <w:t xml:space="preserve"> believe that further studies are warranted due to the potential economic costs and patient consequences of poor model transfers.</w:t>
      </w:r>
      <w:bookmarkStart w:id="32" w:name="references"/>
      <w:bookmarkEnd w:id="32"/>
      <w:r w:rsidR="001312BF" w:rsidRPr="00FA486E">
        <w:rPr>
          <w:lang w:val="en-GB"/>
        </w:rPr>
        <w:br w:type="page"/>
      </w:r>
    </w:p>
    <w:p w14:paraId="158A5C15" w14:textId="77777777" w:rsidR="00041CF1" w:rsidRDefault="00041CF1" w:rsidP="00041CF1">
      <w:pPr>
        <w:pStyle w:val="Rubrik1"/>
      </w:pPr>
      <w:r>
        <w:lastRenderedPageBreak/>
        <w:t>References</w:t>
      </w:r>
    </w:p>
    <w:p w14:paraId="7AC1C5A3" w14:textId="77777777" w:rsidR="00933FB1" w:rsidRDefault="00933FB1" w:rsidP="00933FB1">
      <w:pPr>
        <w:pStyle w:val="Litteraturfrteckning"/>
      </w:pPr>
      <w:r>
        <w:t>1. Moore EE, Feliciano DV, Mattox KL. Trauma. 8th edition. Book. New York: McGraw-Hill Education; 2017.</w:t>
      </w:r>
    </w:p>
    <w:p w14:paraId="76C80801" w14:textId="77777777" w:rsidR="00933FB1" w:rsidRDefault="00933FB1" w:rsidP="00933FB1">
      <w:pPr>
        <w:pStyle w:val="Litteraturfrteckning"/>
      </w:pPr>
      <w:r>
        <w:t xml:space="preserve">2. James SL, Abate D, Abate KH, </w:t>
      </w:r>
      <w:proofErr w:type="spellStart"/>
      <w:r>
        <w:t>Abay</w:t>
      </w:r>
      <w:proofErr w:type="spellEnd"/>
      <w:r>
        <w:t xml:space="preserve"> SM, et al. Global, regional, and national incidence, prevalence, and years lived with disability for 354 diseases and injuries for 195 countries and territories, 1990-2017: A systematic analysis for the global burden of disease study 2017. The Lancet. 2018;1789–858.</w:t>
      </w:r>
    </w:p>
    <w:p w14:paraId="72E81010" w14:textId="77777777" w:rsidR="00933FB1" w:rsidRPr="00FA486E" w:rsidRDefault="00933FB1" w:rsidP="00933FB1">
      <w:pPr>
        <w:pStyle w:val="Litteraturfrteckning"/>
        <w:rPr>
          <w:lang w:val="sv-SE"/>
        </w:rPr>
      </w:pPr>
      <w:r>
        <w:t xml:space="preserve">3. Baker T, Gerdin M. The clinical usefulness of prognostic prediction models in critical illness. </w:t>
      </w:r>
      <w:proofErr w:type="spellStart"/>
      <w:r w:rsidRPr="00FA486E">
        <w:rPr>
          <w:lang w:val="sv-SE"/>
        </w:rPr>
        <w:t>Eur</w:t>
      </w:r>
      <w:proofErr w:type="spellEnd"/>
      <w:r w:rsidRPr="00FA486E">
        <w:rPr>
          <w:lang w:val="sv-SE"/>
        </w:rPr>
        <w:t xml:space="preserve"> J Intern Med. 2017;45:37–40.</w:t>
      </w:r>
    </w:p>
    <w:p w14:paraId="4BBD1FD6" w14:textId="77777777" w:rsidR="00933FB1" w:rsidRDefault="00933FB1" w:rsidP="00933FB1">
      <w:pPr>
        <w:pStyle w:val="Litteraturfrteckning"/>
      </w:pPr>
      <w:r w:rsidRPr="00FA486E">
        <w:rPr>
          <w:lang w:val="sv-SE"/>
        </w:rPr>
        <w:t xml:space="preserve">4. </w:t>
      </w:r>
      <w:proofErr w:type="spellStart"/>
      <w:r w:rsidRPr="00FA486E">
        <w:rPr>
          <w:lang w:val="sv-SE"/>
        </w:rPr>
        <w:t>Naghavi</w:t>
      </w:r>
      <w:proofErr w:type="spellEnd"/>
      <w:r w:rsidRPr="00FA486E">
        <w:rPr>
          <w:lang w:val="sv-SE"/>
        </w:rPr>
        <w:t xml:space="preserve"> M, </w:t>
      </w:r>
      <w:proofErr w:type="spellStart"/>
      <w:r w:rsidRPr="00FA486E">
        <w:rPr>
          <w:lang w:val="sv-SE"/>
        </w:rPr>
        <w:t>Abajobir</w:t>
      </w:r>
      <w:proofErr w:type="spellEnd"/>
      <w:r w:rsidRPr="00FA486E">
        <w:rPr>
          <w:lang w:val="sv-SE"/>
        </w:rPr>
        <w:t xml:space="preserve"> AA, </w:t>
      </w:r>
      <w:proofErr w:type="spellStart"/>
      <w:r w:rsidRPr="00FA486E">
        <w:rPr>
          <w:lang w:val="sv-SE"/>
        </w:rPr>
        <w:t>Abbafati</w:t>
      </w:r>
      <w:proofErr w:type="spellEnd"/>
      <w:r w:rsidRPr="00FA486E">
        <w:rPr>
          <w:lang w:val="sv-SE"/>
        </w:rPr>
        <w:t xml:space="preserve"> C, Abbas K, et al. </w:t>
      </w:r>
      <w:r>
        <w:t>Global, regional, and national age-sex specific mortality for 264 causes of death, 1980-2016: A systematic analysis for the global burden of disease study 2016. The Lancet. 2017;1151–210.</w:t>
      </w:r>
    </w:p>
    <w:p w14:paraId="317B2F7B" w14:textId="77777777" w:rsidR="00933FB1" w:rsidRDefault="00933FB1" w:rsidP="00933FB1">
      <w:pPr>
        <w:pStyle w:val="Litteraturfrteckning"/>
      </w:pPr>
      <w:r>
        <w:t>5. World Health Organization. Injuries and violence: The facts. Report. World Health Organization; 2014.</w:t>
      </w:r>
    </w:p>
    <w:p w14:paraId="5DD95A3F" w14:textId="77777777" w:rsidR="00933FB1" w:rsidRDefault="00933FB1" w:rsidP="00933FB1">
      <w:pPr>
        <w:pStyle w:val="Litteraturfrteckning"/>
      </w:pPr>
      <w:r>
        <w:t>6. American College of Surgeons. Advanced Trauma Life Support (ATLS). 10th edition. Book. Chicago: The Committee on Trauma; 2018.</w:t>
      </w:r>
    </w:p>
    <w:p w14:paraId="7668178C" w14:textId="77777777" w:rsidR="00933FB1" w:rsidRPr="00FA486E" w:rsidRDefault="00933FB1" w:rsidP="00933FB1">
      <w:pPr>
        <w:pStyle w:val="Litteraturfrteckning"/>
        <w:rPr>
          <w:lang w:val="sv-SE"/>
        </w:rPr>
      </w:pPr>
      <w:r>
        <w:t xml:space="preserve">7. </w:t>
      </w:r>
      <w:proofErr w:type="spellStart"/>
      <w:r>
        <w:t>Granstrom</w:t>
      </w:r>
      <w:proofErr w:type="spellEnd"/>
      <w:r>
        <w:t xml:space="preserve"> A, </w:t>
      </w:r>
      <w:proofErr w:type="spellStart"/>
      <w:r>
        <w:t>Strommer</w:t>
      </w:r>
      <w:proofErr w:type="spellEnd"/>
      <w:r>
        <w:t xml:space="preserve"> L, </w:t>
      </w:r>
      <w:proofErr w:type="spellStart"/>
      <w:r>
        <w:t>Schandl</w:t>
      </w:r>
      <w:proofErr w:type="spellEnd"/>
      <w:r>
        <w:t xml:space="preserve"> A, </w:t>
      </w:r>
      <w:proofErr w:type="spellStart"/>
      <w:r>
        <w:t>Ostlund</w:t>
      </w:r>
      <w:proofErr w:type="spellEnd"/>
      <w:r>
        <w:t xml:space="preserve"> A. A criteria-directed protocol for in-hospital triage of trauma patients. </w:t>
      </w:r>
      <w:proofErr w:type="spellStart"/>
      <w:r w:rsidRPr="00FA486E">
        <w:rPr>
          <w:lang w:val="sv-SE"/>
        </w:rPr>
        <w:t>Eur</w:t>
      </w:r>
      <w:proofErr w:type="spellEnd"/>
      <w:r w:rsidRPr="00FA486E">
        <w:rPr>
          <w:lang w:val="sv-SE"/>
        </w:rPr>
        <w:t xml:space="preserve"> J </w:t>
      </w:r>
      <w:proofErr w:type="spellStart"/>
      <w:r w:rsidRPr="00FA486E">
        <w:rPr>
          <w:lang w:val="sv-SE"/>
        </w:rPr>
        <w:t>Emerg</w:t>
      </w:r>
      <w:proofErr w:type="spellEnd"/>
      <w:r w:rsidRPr="00FA486E">
        <w:rPr>
          <w:lang w:val="sv-SE"/>
        </w:rPr>
        <w:t xml:space="preserve"> Med. 2018;25:25–31.</w:t>
      </w:r>
    </w:p>
    <w:p w14:paraId="125C4EF2" w14:textId="77777777" w:rsidR="00933FB1" w:rsidRDefault="00933FB1" w:rsidP="00933FB1">
      <w:pPr>
        <w:pStyle w:val="Litteraturfrteckning"/>
      </w:pPr>
      <w:r w:rsidRPr="00FA486E">
        <w:rPr>
          <w:lang w:val="sv-SE"/>
        </w:rPr>
        <w:t xml:space="preserve">8. Rehn M, </w:t>
      </w:r>
      <w:proofErr w:type="spellStart"/>
      <w:r w:rsidRPr="00FA486E">
        <w:rPr>
          <w:lang w:val="sv-SE"/>
        </w:rPr>
        <w:t>Perel</w:t>
      </w:r>
      <w:proofErr w:type="spellEnd"/>
      <w:r w:rsidRPr="00FA486E">
        <w:rPr>
          <w:lang w:val="sv-SE"/>
        </w:rPr>
        <w:t xml:space="preserve"> P, Blackhall K, </w:t>
      </w:r>
      <w:proofErr w:type="spellStart"/>
      <w:r w:rsidRPr="00FA486E">
        <w:rPr>
          <w:lang w:val="sv-SE"/>
        </w:rPr>
        <w:t>Lossius</w:t>
      </w:r>
      <w:proofErr w:type="spellEnd"/>
      <w:r w:rsidRPr="00FA486E">
        <w:rPr>
          <w:lang w:val="sv-SE"/>
        </w:rPr>
        <w:t xml:space="preserve"> HM. </w:t>
      </w:r>
      <w:r>
        <w:t xml:space="preserve">Prognostic models for the early care of trauma patients: A systematic review. </w:t>
      </w:r>
      <w:proofErr w:type="spellStart"/>
      <w:r>
        <w:t>Scand</w:t>
      </w:r>
      <w:proofErr w:type="spellEnd"/>
      <w:r>
        <w:t xml:space="preserve"> J Trauma </w:t>
      </w:r>
      <w:proofErr w:type="spellStart"/>
      <w:r>
        <w:t>Resusc</w:t>
      </w:r>
      <w:proofErr w:type="spellEnd"/>
      <w:r>
        <w:t xml:space="preserve"> </w:t>
      </w:r>
      <w:proofErr w:type="spellStart"/>
      <w:r>
        <w:t>Emerg</w:t>
      </w:r>
      <w:proofErr w:type="spellEnd"/>
      <w:r>
        <w:t xml:space="preserve"> Med. 2011;19:17.</w:t>
      </w:r>
    </w:p>
    <w:p w14:paraId="7A4D61C4" w14:textId="77777777" w:rsidR="00933FB1" w:rsidRDefault="00933FB1" w:rsidP="00933FB1">
      <w:pPr>
        <w:pStyle w:val="Litteraturfrteckning"/>
      </w:pPr>
      <w:r>
        <w:t xml:space="preserve">9. Gerdin M, Roy N, </w:t>
      </w:r>
      <w:proofErr w:type="spellStart"/>
      <w:r>
        <w:t>Fellander</w:t>
      </w:r>
      <w:proofErr w:type="spellEnd"/>
      <w:r>
        <w:t xml:space="preserve">-Tsai L, Tomson G, </w:t>
      </w:r>
      <w:proofErr w:type="spellStart"/>
      <w:r>
        <w:t>Schreeb</w:t>
      </w:r>
      <w:proofErr w:type="spellEnd"/>
      <w:r>
        <w:t xml:space="preserve"> J von, </w:t>
      </w:r>
      <w:proofErr w:type="spellStart"/>
      <w:r>
        <w:t>Petzold</w:t>
      </w:r>
      <w:proofErr w:type="spellEnd"/>
      <w:r>
        <w:t xml:space="preserve"> M, et al. Traumatic transfers: Calibration is adversely affected when prediction models are transferred between trauma care contexts in </w:t>
      </w:r>
      <w:proofErr w:type="spellStart"/>
      <w:r>
        <w:t>india</w:t>
      </w:r>
      <w:proofErr w:type="spellEnd"/>
      <w:r>
        <w:t xml:space="preserve"> and the united states. J Clin Epidemiol. 2016;74:177–86.</w:t>
      </w:r>
    </w:p>
    <w:p w14:paraId="24E2C2CF" w14:textId="77777777" w:rsidR="00524553" w:rsidRDefault="00524553" w:rsidP="00524553">
      <w:pPr>
        <w:pStyle w:val="Litteraturfrteckning"/>
      </w:pPr>
      <w:r>
        <w:t xml:space="preserve">10. Henriksson M. </w:t>
      </w:r>
      <w:proofErr w:type="spellStart"/>
      <w:r>
        <w:t>Github</w:t>
      </w:r>
      <w:proofErr w:type="spellEnd"/>
      <w:r>
        <w:t>: Transfer effect mistriage. 2019.</w:t>
      </w:r>
    </w:p>
    <w:p w14:paraId="05ACA3D4" w14:textId="3F40B7C0" w:rsidR="00933FB1" w:rsidRPr="00FA486E" w:rsidRDefault="00933FB1" w:rsidP="00933FB1">
      <w:pPr>
        <w:pStyle w:val="Litteraturfrteckning"/>
        <w:rPr>
          <w:lang w:val="sv-SE"/>
        </w:rPr>
      </w:pPr>
      <w:r>
        <w:t>1</w:t>
      </w:r>
      <w:r w:rsidR="00524553">
        <w:t>1</w:t>
      </w:r>
      <w:r>
        <w:t xml:space="preserve">. SweTrau. </w:t>
      </w:r>
      <w:r w:rsidRPr="00FA486E">
        <w:rPr>
          <w:lang w:val="sv-SE"/>
        </w:rPr>
        <w:t>SweTrau: Minnesanteckning. 2018.</w:t>
      </w:r>
    </w:p>
    <w:p w14:paraId="18ACD573" w14:textId="77777777" w:rsidR="00933FB1" w:rsidRPr="00FA486E" w:rsidRDefault="00933FB1" w:rsidP="00933FB1">
      <w:pPr>
        <w:pStyle w:val="Litteraturfrteckning"/>
        <w:rPr>
          <w:lang w:val="sv-SE"/>
        </w:rPr>
      </w:pPr>
      <w:r w:rsidRPr="00FA486E">
        <w:rPr>
          <w:lang w:val="sv-SE"/>
        </w:rPr>
        <w:t xml:space="preserve">12. </w:t>
      </w:r>
      <w:proofErr w:type="spellStart"/>
      <w:r w:rsidRPr="00FA486E">
        <w:rPr>
          <w:lang w:val="sv-SE"/>
        </w:rPr>
        <w:t>McFadyen</w:t>
      </w:r>
      <w:proofErr w:type="spellEnd"/>
      <w:r w:rsidRPr="00FA486E">
        <w:rPr>
          <w:lang w:val="sv-SE"/>
        </w:rPr>
        <w:t xml:space="preserve"> JG, </w:t>
      </w:r>
      <w:proofErr w:type="spellStart"/>
      <w:r w:rsidRPr="00FA486E">
        <w:rPr>
          <w:lang w:val="sv-SE"/>
        </w:rPr>
        <w:t>Ramaiah</w:t>
      </w:r>
      <w:proofErr w:type="spellEnd"/>
      <w:r w:rsidRPr="00FA486E">
        <w:rPr>
          <w:lang w:val="sv-SE"/>
        </w:rPr>
        <w:t xml:space="preserve"> R, </w:t>
      </w:r>
      <w:proofErr w:type="spellStart"/>
      <w:r w:rsidRPr="00FA486E">
        <w:rPr>
          <w:lang w:val="sv-SE"/>
        </w:rPr>
        <w:t>Bhananker</w:t>
      </w:r>
      <w:proofErr w:type="spellEnd"/>
      <w:r w:rsidRPr="00FA486E">
        <w:rPr>
          <w:lang w:val="sv-SE"/>
        </w:rPr>
        <w:t xml:space="preserve"> SM. </w:t>
      </w:r>
      <w:r>
        <w:t xml:space="preserve">Initial assessment and management of pediatric trauma patients. </w:t>
      </w:r>
      <w:proofErr w:type="spellStart"/>
      <w:r w:rsidRPr="00FA486E">
        <w:rPr>
          <w:lang w:val="sv-SE"/>
        </w:rPr>
        <w:t>Int</w:t>
      </w:r>
      <w:proofErr w:type="spellEnd"/>
      <w:r w:rsidRPr="00FA486E">
        <w:rPr>
          <w:lang w:val="sv-SE"/>
        </w:rPr>
        <w:t xml:space="preserve"> J </w:t>
      </w:r>
      <w:proofErr w:type="spellStart"/>
      <w:r w:rsidRPr="00FA486E">
        <w:rPr>
          <w:lang w:val="sv-SE"/>
        </w:rPr>
        <w:t>Crit</w:t>
      </w:r>
      <w:proofErr w:type="spellEnd"/>
      <w:r w:rsidRPr="00FA486E">
        <w:rPr>
          <w:lang w:val="sv-SE"/>
        </w:rPr>
        <w:t xml:space="preserve"> </w:t>
      </w:r>
      <w:proofErr w:type="spellStart"/>
      <w:r w:rsidRPr="00FA486E">
        <w:rPr>
          <w:lang w:val="sv-SE"/>
        </w:rPr>
        <w:t>Illn</w:t>
      </w:r>
      <w:proofErr w:type="spellEnd"/>
      <w:r w:rsidRPr="00FA486E">
        <w:rPr>
          <w:lang w:val="sv-SE"/>
        </w:rPr>
        <w:t xml:space="preserve"> </w:t>
      </w:r>
      <w:proofErr w:type="spellStart"/>
      <w:r w:rsidRPr="00FA486E">
        <w:rPr>
          <w:lang w:val="sv-SE"/>
        </w:rPr>
        <w:t>Inj</w:t>
      </w:r>
      <w:proofErr w:type="spellEnd"/>
      <w:r w:rsidRPr="00FA486E">
        <w:rPr>
          <w:lang w:val="sv-SE"/>
        </w:rPr>
        <w:t xml:space="preserve"> </w:t>
      </w:r>
      <w:proofErr w:type="spellStart"/>
      <w:r w:rsidRPr="00FA486E">
        <w:rPr>
          <w:lang w:val="sv-SE"/>
        </w:rPr>
        <w:t>Sci</w:t>
      </w:r>
      <w:proofErr w:type="spellEnd"/>
      <w:r w:rsidRPr="00FA486E">
        <w:rPr>
          <w:lang w:val="sv-SE"/>
        </w:rPr>
        <w:t>. 2012;2:121–7.</w:t>
      </w:r>
    </w:p>
    <w:p w14:paraId="3985617D" w14:textId="77777777" w:rsidR="00933FB1" w:rsidRDefault="00933FB1" w:rsidP="00933FB1">
      <w:pPr>
        <w:pStyle w:val="Litteraturfrteckning"/>
      </w:pPr>
      <w:r w:rsidRPr="00FA486E">
        <w:rPr>
          <w:lang w:val="sv-SE"/>
        </w:rPr>
        <w:t xml:space="preserve">13. LOF. LOF: Nationella traumalarmskriterier 2017. </w:t>
      </w:r>
      <w:r>
        <w:t>2017.</w:t>
      </w:r>
    </w:p>
    <w:p w14:paraId="4CF9C18A" w14:textId="77777777" w:rsidR="00933FB1" w:rsidRDefault="00933FB1" w:rsidP="00933FB1">
      <w:pPr>
        <w:pStyle w:val="Litteraturfrteckning"/>
      </w:pPr>
      <w:r>
        <w:t>14. Champion HR, Sacco WJ, Copes W, Gann DS, et al. A revision of the trauma score. J Trauma. 1989;623–9.</w:t>
      </w:r>
    </w:p>
    <w:p w14:paraId="2482AFC3" w14:textId="77777777" w:rsidR="00933FB1" w:rsidRDefault="00933FB1" w:rsidP="00933FB1">
      <w:pPr>
        <w:pStyle w:val="Litteraturfrteckning"/>
      </w:pPr>
      <w:r>
        <w:t>15. Sartorius D, Le-</w:t>
      </w:r>
      <w:proofErr w:type="spellStart"/>
      <w:r>
        <w:t>Manach</w:t>
      </w:r>
      <w:proofErr w:type="spellEnd"/>
      <w:r>
        <w:t xml:space="preserve"> Y, David JS, </w:t>
      </w:r>
      <w:proofErr w:type="spellStart"/>
      <w:r>
        <w:t>Rancurel</w:t>
      </w:r>
      <w:proofErr w:type="spellEnd"/>
      <w:r>
        <w:t xml:space="preserve"> E, et al. Mechanism, </w:t>
      </w:r>
      <w:proofErr w:type="spellStart"/>
      <w:r>
        <w:t>glasgow</w:t>
      </w:r>
      <w:proofErr w:type="spellEnd"/>
      <w:r>
        <w:t xml:space="preserve"> coma scale, age, and arterial pressure (</w:t>
      </w:r>
      <w:proofErr w:type="spellStart"/>
      <w:r>
        <w:t>mgap</w:t>
      </w:r>
      <w:proofErr w:type="spellEnd"/>
      <w:r>
        <w:t xml:space="preserve">): A new simple prehospital triage score to predict mortality in trauma patients. </w:t>
      </w:r>
      <w:proofErr w:type="spellStart"/>
      <w:r>
        <w:t>Crit</w:t>
      </w:r>
      <w:proofErr w:type="spellEnd"/>
      <w:r>
        <w:t xml:space="preserve"> Care Med. 2010;831–7.</w:t>
      </w:r>
    </w:p>
    <w:p w14:paraId="449DA382" w14:textId="77777777" w:rsidR="00933FB1" w:rsidRDefault="00933FB1" w:rsidP="00933FB1">
      <w:pPr>
        <w:pStyle w:val="Litteraturfrteckning"/>
      </w:pPr>
      <w:r>
        <w:lastRenderedPageBreak/>
        <w:t xml:space="preserve">16. Kondo Y, Abe T, </w:t>
      </w:r>
      <w:proofErr w:type="spellStart"/>
      <w:r>
        <w:t>Kohshi</w:t>
      </w:r>
      <w:proofErr w:type="spellEnd"/>
      <w:r>
        <w:t xml:space="preserve"> K, </w:t>
      </w:r>
      <w:proofErr w:type="spellStart"/>
      <w:r>
        <w:t>Tokuda</w:t>
      </w:r>
      <w:proofErr w:type="spellEnd"/>
      <w:r>
        <w:t xml:space="preserve"> Y, et al. Revised trauma scoring system to predict in-hospital mortality in the emergency department: Glasgow coma scale, age, and systolic blood pressure score. </w:t>
      </w:r>
      <w:proofErr w:type="spellStart"/>
      <w:r>
        <w:t>Crit</w:t>
      </w:r>
      <w:proofErr w:type="spellEnd"/>
      <w:r>
        <w:t xml:space="preserve"> Care. 2011;191.</w:t>
      </w:r>
    </w:p>
    <w:p w14:paraId="6E9679A1" w14:textId="77777777" w:rsidR="00933FB1" w:rsidRDefault="00933FB1" w:rsidP="00933FB1">
      <w:pPr>
        <w:pStyle w:val="Litteraturfrteckning"/>
      </w:pPr>
      <w:r>
        <w:t xml:space="preserve">17. </w:t>
      </w:r>
      <w:proofErr w:type="spellStart"/>
      <w:r>
        <w:t>Kobusingye</w:t>
      </w:r>
      <w:proofErr w:type="spellEnd"/>
      <w:r>
        <w:t xml:space="preserve"> OC, Lett RR. Hospital-based trauma registries in </w:t>
      </w:r>
      <w:proofErr w:type="spellStart"/>
      <w:r>
        <w:t>uganda</w:t>
      </w:r>
      <w:proofErr w:type="spellEnd"/>
      <w:r>
        <w:t>. J Trauma. 2000;498–502.</w:t>
      </w:r>
    </w:p>
    <w:p w14:paraId="1DC519AA" w14:textId="77777777" w:rsidR="00933FB1" w:rsidRDefault="00933FB1" w:rsidP="00933FB1">
      <w:pPr>
        <w:pStyle w:val="Litteraturfrteckning"/>
      </w:pPr>
      <w:r>
        <w:t xml:space="preserve">18. Palmer C. Major trauma and the injury severity score–where should we set the bar? </w:t>
      </w:r>
      <w:proofErr w:type="spellStart"/>
      <w:r>
        <w:t>Annu</w:t>
      </w:r>
      <w:proofErr w:type="spellEnd"/>
      <w:r>
        <w:t xml:space="preserve"> Proc Assoc Adv </w:t>
      </w:r>
      <w:proofErr w:type="spellStart"/>
      <w:r>
        <w:t>Automot</w:t>
      </w:r>
      <w:proofErr w:type="spellEnd"/>
      <w:r>
        <w:t xml:space="preserve"> Med. 2007;51:13–29.</w:t>
      </w:r>
    </w:p>
    <w:p w14:paraId="2D76521F" w14:textId="77777777" w:rsidR="00933FB1" w:rsidRDefault="00933FB1" w:rsidP="00933FB1">
      <w:pPr>
        <w:pStyle w:val="Litteraturfrteckning"/>
      </w:pPr>
      <w:r>
        <w:t xml:space="preserve">19. </w:t>
      </w:r>
      <w:proofErr w:type="spellStart"/>
      <w:r>
        <w:t>Rotondo</w:t>
      </w:r>
      <w:proofErr w:type="spellEnd"/>
      <w:r>
        <w:t xml:space="preserve"> MF, </w:t>
      </w:r>
      <w:proofErr w:type="spellStart"/>
      <w:r>
        <w:t>Cribari</w:t>
      </w:r>
      <w:proofErr w:type="spellEnd"/>
      <w:r>
        <w:t xml:space="preserve"> C, Smith RS. Resources for the optimal care of the injured patient. Report. American College of Surgeons; 2014.</w:t>
      </w:r>
    </w:p>
    <w:p w14:paraId="2F392E0E" w14:textId="77777777" w:rsidR="00933FB1" w:rsidRDefault="00933FB1" w:rsidP="00933FB1">
      <w:pPr>
        <w:pStyle w:val="Litteraturfrteckning"/>
      </w:pPr>
      <w:r>
        <w:t xml:space="preserve">20. Champion HR, Sacco WJ, Copes WS, Gann DS, </w:t>
      </w:r>
      <w:proofErr w:type="spellStart"/>
      <w:r>
        <w:t>Gennarelli</w:t>
      </w:r>
      <w:proofErr w:type="spellEnd"/>
      <w:r>
        <w:t xml:space="preserve"> TA, Flanagan ME. A revision of the trauma score. J Trauma. 1989;29:623–9.</w:t>
      </w:r>
    </w:p>
    <w:p w14:paraId="3FA88ACE" w14:textId="77777777" w:rsidR="00933FB1" w:rsidRDefault="00933FB1" w:rsidP="00933FB1">
      <w:pPr>
        <w:pStyle w:val="Litteraturfrteckning"/>
      </w:pPr>
      <w:r>
        <w:t xml:space="preserve">21. </w:t>
      </w:r>
      <w:proofErr w:type="spellStart"/>
      <w:r>
        <w:t>Buuren</w:t>
      </w:r>
      <w:proofErr w:type="spellEnd"/>
      <w:r>
        <w:t xml:space="preserve"> S van, </w:t>
      </w:r>
      <w:proofErr w:type="spellStart"/>
      <w:r>
        <w:t>Groothuis-Oudshoorn</w:t>
      </w:r>
      <w:proofErr w:type="spellEnd"/>
      <w:r>
        <w:t xml:space="preserve"> C. MICE: Multivariate imputation by chained equations in r. Book. 2011.</w:t>
      </w:r>
    </w:p>
    <w:p w14:paraId="3FE1D1C2" w14:textId="77777777" w:rsidR="00933FB1" w:rsidRDefault="00933FB1" w:rsidP="00933FB1">
      <w:pPr>
        <w:pStyle w:val="Litteraturfrteckning"/>
      </w:pPr>
      <w:r>
        <w:t xml:space="preserve">22. </w:t>
      </w:r>
      <w:proofErr w:type="spellStart"/>
      <w:r>
        <w:t>Peduzzi</w:t>
      </w:r>
      <w:proofErr w:type="spellEnd"/>
      <w:r>
        <w:t xml:space="preserve"> P, </w:t>
      </w:r>
      <w:proofErr w:type="spellStart"/>
      <w:r>
        <w:t>Concato</w:t>
      </w:r>
      <w:proofErr w:type="spellEnd"/>
      <w:r>
        <w:t xml:space="preserve"> J, Kemper E, Holford TR, Feinstein AR. A simulation study of the number of events per variable in logistic regression analysis. J Clin Epidemiol. 1996;49:1373–9.</w:t>
      </w:r>
    </w:p>
    <w:p w14:paraId="5538DFE9" w14:textId="77777777" w:rsidR="00933FB1" w:rsidRDefault="00933FB1" w:rsidP="00933FB1">
      <w:pPr>
        <w:pStyle w:val="Litteraturfrteckning"/>
      </w:pPr>
      <w:r>
        <w:t xml:space="preserve">23. Courvoisier DS, </w:t>
      </w:r>
      <w:proofErr w:type="spellStart"/>
      <w:r>
        <w:t>Combescure</w:t>
      </w:r>
      <w:proofErr w:type="spellEnd"/>
      <w:r>
        <w:t xml:space="preserve"> C, </w:t>
      </w:r>
      <w:proofErr w:type="spellStart"/>
      <w:r>
        <w:t>Agoritsas</w:t>
      </w:r>
      <w:proofErr w:type="spellEnd"/>
      <w:r>
        <w:t xml:space="preserve"> T, </w:t>
      </w:r>
      <w:proofErr w:type="spellStart"/>
      <w:r>
        <w:t>Gayet-Ageron</w:t>
      </w:r>
      <w:proofErr w:type="spellEnd"/>
      <w:r>
        <w:t xml:space="preserve"> A, </w:t>
      </w:r>
      <w:proofErr w:type="spellStart"/>
      <w:r>
        <w:t>Perneger</w:t>
      </w:r>
      <w:proofErr w:type="spellEnd"/>
      <w:r>
        <w:t xml:space="preserve"> TV. Performance of logistic regression modeling: Beyond the number of events per variable, the role of data structure. Journal of Clinical Epidemiology. 2011;64:993–1000.</w:t>
      </w:r>
    </w:p>
    <w:p w14:paraId="01F2BEB9" w14:textId="77777777" w:rsidR="00933FB1" w:rsidRDefault="00933FB1" w:rsidP="00933FB1">
      <w:pPr>
        <w:pStyle w:val="Litteraturfrteckning"/>
      </w:pPr>
      <w:r>
        <w:t xml:space="preserve">24. </w:t>
      </w:r>
      <w:proofErr w:type="spellStart"/>
      <w:r>
        <w:t>Vergouwe</w:t>
      </w:r>
      <w:proofErr w:type="spellEnd"/>
      <w:r>
        <w:t xml:space="preserve"> Y, </w:t>
      </w:r>
      <w:proofErr w:type="spellStart"/>
      <w:r>
        <w:t>Steyerberg</w:t>
      </w:r>
      <w:proofErr w:type="spellEnd"/>
      <w:r>
        <w:t xml:space="preserve"> EW, </w:t>
      </w:r>
      <w:proofErr w:type="spellStart"/>
      <w:r>
        <w:t>Eijkemans</w:t>
      </w:r>
      <w:proofErr w:type="spellEnd"/>
      <w:r>
        <w:t xml:space="preserve"> MJ, </w:t>
      </w:r>
      <w:proofErr w:type="spellStart"/>
      <w:r>
        <w:t>Habbema</w:t>
      </w:r>
      <w:proofErr w:type="spellEnd"/>
      <w:r>
        <w:t xml:space="preserve"> JD. Substantial effective sample sizes were required for external validation studies of predictive logistic regression models. J Clin Epidemiol. 2005;58:475–83.</w:t>
      </w:r>
    </w:p>
    <w:p w14:paraId="588B60D9" w14:textId="77777777" w:rsidR="00933FB1" w:rsidRDefault="00933FB1" w:rsidP="00933FB1">
      <w:pPr>
        <w:pStyle w:val="Litteraturfrteckning"/>
      </w:pPr>
      <w:r>
        <w:t>25. The R team. R-project. 2018.</w:t>
      </w:r>
    </w:p>
    <w:p w14:paraId="760F5406" w14:textId="77777777" w:rsidR="00933FB1" w:rsidRDefault="00933FB1" w:rsidP="00933FB1">
      <w:pPr>
        <w:pStyle w:val="Litteraturfrteckning"/>
      </w:pPr>
      <w:r>
        <w:t xml:space="preserve">26. Bleeker SE, Moll HA, </w:t>
      </w:r>
      <w:proofErr w:type="spellStart"/>
      <w:r>
        <w:t>Steyerberg</w:t>
      </w:r>
      <w:proofErr w:type="spellEnd"/>
      <w:r>
        <w:t xml:space="preserve"> EW, Donders AR, </w:t>
      </w:r>
      <w:proofErr w:type="spellStart"/>
      <w:r>
        <w:t>Derksen-Lubsen</w:t>
      </w:r>
      <w:proofErr w:type="spellEnd"/>
      <w:r>
        <w:t xml:space="preserve"> G, </w:t>
      </w:r>
      <w:proofErr w:type="spellStart"/>
      <w:r>
        <w:t>Grobbee</w:t>
      </w:r>
      <w:proofErr w:type="spellEnd"/>
      <w:r>
        <w:t xml:space="preserve"> DE, et al. External validation is necessary in prediction research: A clinical example. J Clin Epidemiol. 2003;56:826–32.</w:t>
      </w:r>
    </w:p>
    <w:p w14:paraId="4517704D" w14:textId="77777777" w:rsidR="00933FB1" w:rsidRDefault="00933FB1" w:rsidP="00933FB1">
      <w:pPr>
        <w:pStyle w:val="Litteraturfrteckning"/>
      </w:pPr>
      <w:r>
        <w:t>27. Bartlett JW, Hughes RA. Bootstrap inference for multiple imputation under uncongeniality and misspecification. 2019.</w:t>
      </w:r>
    </w:p>
    <w:p w14:paraId="2F3C1935" w14:textId="77777777" w:rsidR="00933FB1" w:rsidRDefault="00933FB1" w:rsidP="00933FB1">
      <w:pPr>
        <w:pStyle w:val="Litteraturfrteckning"/>
      </w:pPr>
      <w:r>
        <w:t xml:space="preserve">28. </w:t>
      </w:r>
      <w:proofErr w:type="spellStart"/>
      <w:r>
        <w:t>Terrin</w:t>
      </w:r>
      <w:proofErr w:type="spellEnd"/>
      <w:r>
        <w:t xml:space="preserve"> N, Schmid CH, Griffith JL, D’Agostino RB, </w:t>
      </w:r>
      <w:proofErr w:type="spellStart"/>
      <w:r>
        <w:t>Selker</w:t>
      </w:r>
      <w:proofErr w:type="spellEnd"/>
      <w:r>
        <w:t xml:space="preserve"> HP. External validity of predictive models: A comparison of logistic regression, classification trees, and neural networks. J Clin Epidemiol. 2003;56:721–9.</w:t>
      </w:r>
    </w:p>
    <w:p w14:paraId="2F9FDAED" w14:textId="77777777" w:rsidR="00933FB1" w:rsidRDefault="00933FB1" w:rsidP="00933FB1">
      <w:pPr>
        <w:pStyle w:val="Litteraturfrteckning"/>
      </w:pPr>
      <w:r>
        <w:t xml:space="preserve">29. Hodgson L, Selby N, Huang T, </w:t>
      </w:r>
      <w:proofErr w:type="spellStart"/>
      <w:r>
        <w:t>Forni</w:t>
      </w:r>
      <w:proofErr w:type="spellEnd"/>
      <w:r>
        <w:t xml:space="preserve"> L. The role of risk prediction models in prevention and management of </w:t>
      </w:r>
      <w:proofErr w:type="spellStart"/>
      <w:r>
        <w:t>aki</w:t>
      </w:r>
      <w:proofErr w:type="spellEnd"/>
      <w:r>
        <w:t>. Seminars in Nephrology. 2019;39:421–30.</w:t>
      </w:r>
    </w:p>
    <w:p w14:paraId="765137D7" w14:textId="0F7F70D2" w:rsidR="006508D7" w:rsidRPr="00FA486E" w:rsidRDefault="00933FB1" w:rsidP="00FA486E">
      <w:pPr>
        <w:pStyle w:val="Litteraturfrteckning"/>
        <w:rPr>
          <w:lang w:val="en-GB"/>
        </w:rPr>
      </w:pPr>
      <w:r w:rsidRPr="00524553" w:rsidDel="00041CF1">
        <w:rPr>
          <w:lang w:val="en-GB"/>
        </w:rPr>
        <w:t xml:space="preserve"> </w:t>
      </w:r>
    </w:p>
    <w:sectPr w:rsidR="006508D7" w:rsidRPr="00FA486E">
      <w:headerReference w:type="even" r:id="rId10"/>
      <w:headerReference w:type="default" r:id="rId11"/>
      <w:footerReference w:type="even" r:id="rId12"/>
      <w:footerReference w:type="default" r:id="rId13"/>
      <w:headerReference w:type="first" r:id="rId14"/>
      <w:footerReference w:type="first" r:id="rId15"/>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4A8D9" w14:textId="77777777" w:rsidR="009D778D" w:rsidRDefault="009D778D">
      <w:pPr>
        <w:spacing w:after="0"/>
      </w:pPr>
      <w:r>
        <w:separator/>
      </w:r>
    </w:p>
  </w:endnote>
  <w:endnote w:type="continuationSeparator" w:id="0">
    <w:p w14:paraId="6DD92DEA" w14:textId="77777777" w:rsidR="009D778D" w:rsidRDefault="009D77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C09D91" w14:textId="77777777" w:rsidR="00D32662" w:rsidRDefault="00D32662">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906527"/>
      <w:docPartObj>
        <w:docPartGallery w:val="Page Numbers (Bottom of Page)"/>
        <w:docPartUnique/>
      </w:docPartObj>
    </w:sdtPr>
    <w:sdtEndPr/>
    <w:sdtContent>
      <w:p w14:paraId="5BB9060F" w14:textId="77777777" w:rsidR="00D32662" w:rsidRDefault="00D32662">
        <w:pPr>
          <w:pStyle w:val="Sidfot"/>
          <w:jc w:val="right"/>
        </w:pPr>
        <w:r>
          <w:fldChar w:fldCharType="begin"/>
        </w:r>
        <w:r>
          <w:instrText>PAGE   \* MERGEFORMAT</w:instrText>
        </w:r>
        <w:r>
          <w:fldChar w:fldCharType="separate"/>
        </w:r>
        <w:r>
          <w:rPr>
            <w:lang w:val="sv-SE"/>
          </w:rPr>
          <w:t>2</w:t>
        </w:r>
        <w:r>
          <w:fldChar w:fldCharType="end"/>
        </w:r>
      </w:p>
    </w:sdtContent>
  </w:sdt>
  <w:p w14:paraId="642A5779" w14:textId="77777777" w:rsidR="00D32662" w:rsidRDefault="00D32662">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CFFD0" w14:textId="77777777" w:rsidR="00D32662" w:rsidRDefault="00D32662">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9F40D" w14:textId="77777777" w:rsidR="009D778D" w:rsidRDefault="009D778D">
      <w:r>
        <w:separator/>
      </w:r>
    </w:p>
  </w:footnote>
  <w:footnote w:type="continuationSeparator" w:id="0">
    <w:p w14:paraId="7A74C52B" w14:textId="77777777" w:rsidR="009D778D" w:rsidRDefault="009D77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C42E0" w14:textId="77777777" w:rsidR="00D32662" w:rsidRDefault="00D32662">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A4DB3" w14:textId="77777777" w:rsidR="00D32662" w:rsidRDefault="00D32662">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7805B" w14:textId="77777777" w:rsidR="00D32662" w:rsidRDefault="00D32662">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08218C"/>
    <w:multiLevelType w:val="multilevel"/>
    <w:tmpl w:val="D0CCA7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D6AA2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2B73852"/>
    <w:multiLevelType w:val="multilevel"/>
    <w:tmpl w:val="48B604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CFBFF9E"/>
    <w:multiLevelType w:val="multilevel"/>
    <w:tmpl w:val="6540D9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3C5"/>
    <w:rsid w:val="00011C8B"/>
    <w:rsid w:val="0001328F"/>
    <w:rsid w:val="000158A5"/>
    <w:rsid w:val="00020029"/>
    <w:rsid w:val="00026A05"/>
    <w:rsid w:val="00033578"/>
    <w:rsid w:val="00041CF1"/>
    <w:rsid w:val="000564A5"/>
    <w:rsid w:val="0007513D"/>
    <w:rsid w:val="000B3562"/>
    <w:rsid w:val="000C22E1"/>
    <w:rsid w:val="000D24D6"/>
    <w:rsid w:val="000D5D12"/>
    <w:rsid w:val="00104AC9"/>
    <w:rsid w:val="00111A86"/>
    <w:rsid w:val="001312BF"/>
    <w:rsid w:val="001441EB"/>
    <w:rsid w:val="00161F40"/>
    <w:rsid w:val="00171F78"/>
    <w:rsid w:val="001B579F"/>
    <w:rsid w:val="001D3A87"/>
    <w:rsid w:val="001E2D70"/>
    <w:rsid w:val="001F0C78"/>
    <w:rsid w:val="00207C97"/>
    <w:rsid w:val="00276748"/>
    <w:rsid w:val="002A1341"/>
    <w:rsid w:val="002B645A"/>
    <w:rsid w:val="00304570"/>
    <w:rsid w:val="00316990"/>
    <w:rsid w:val="003633FC"/>
    <w:rsid w:val="0036688A"/>
    <w:rsid w:val="00377F7D"/>
    <w:rsid w:val="00383ACA"/>
    <w:rsid w:val="0038681C"/>
    <w:rsid w:val="003A4848"/>
    <w:rsid w:val="003A6E7E"/>
    <w:rsid w:val="003F169C"/>
    <w:rsid w:val="00404DE5"/>
    <w:rsid w:val="004163EF"/>
    <w:rsid w:val="00420309"/>
    <w:rsid w:val="00447461"/>
    <w:rsid w:val="00463412"/>
    <w:rsid w:val="004713FF"/>
    <w:rsid w:val="00471C3C"/>
    <w:rsid w:val="00496B42"/>
    <w:rsid w:val="004A14D0"/>
    <w:rsid w:val="004A6B8F"/>
    <w:rsid w:val="004E29B3"/>
    <w:rsid w:val="004E6A88"/>
    <w:rsid w:val="004F1C01"/>
    <w:rsid w:val="00524553"/>
    <w:rsid w:val="00530238"/>
    <w:rsid w:val="00590D07"/>
    <w:rsid w:val="00594347"/>
    <w:rsid w:val="005A4CD0"/>
    <w:rsid w:val="005A5D55"/>
    <w:rsid w:val="005D274B"/>
    <w:rsid w:val="005D4B82"/>
    <w:rsid w:val="005F0529"/>
    <w:rsid w:val="00622FAB"/>
    <w:rsid w:val="00626253"/>
    <w:rsid w:val="00632060"/>
    <w:rsid w:val="0064177C"/>
    <w:rsid w:val="006508D7"/>
    <w:rsid w:val="00684103"/>
    <w:rsid w:val="006B26AF"/>
    <w:rsid w:val="006D2BA7"/>
    <w:rsid w:val="006E6520"/>
    <w:rsid w:val="00702705"/>
    <w:rsid w:val="00703228"/>
    <w:rsid w:val="00741358"/>
    <w:rsid w:val="00741FB7"/>
    <w:rsid w:val="007451B4"/>
    <w:rsid w:val="00774112"/>
    <w:rsid w:val="00784D58"/>
    <w:rsid w:val="007B27AB"/>
    <w:rsid w:val="007B5F4D"/>
    <w:rsid w:val="007C3F8D"/>
    <w:rsid w:val="007F31AE"/>
    <w:rsid w:val="008213A4"/>
    <w:rsid w:val="008253AA"/>
    <w:rsid w:val="00843FB2"/>
    <w:rsid w:val="00866026"/>
    <w:rsid w:val="0087261B"/>
    <w:rsid w:val="008A3CE1"/>
    <w:rsid w:val="008A5C82"/>
    <w:rsid w:val="008B5D36"/>
    <w:rsid w:val="008B67BD"/>
    <w:rsid w:val="008D5AA9"/>
    <w:rsid w:val="008D6863"/>
    <w:rsid w:val="0090377B"/>
    <w:rsid w:val="00905B6A"/>
    <w:rsid w:val="00915054"/>
    <w:rsid w:val="00933FB1"/>
    <w:rsid w:val="00940DB6"/>
    <w:rsid w:val="00954F2B"/>
    <w:rsid w:val="00962C01"/>
    <w:rsid w:val="0096413E"/>
    <w:rsid w:val="00965ADD"/>
    <w:rsid w:val="00972842"/>
    <w:rsid w:val="009745C9"/>
    <w:rsid w:val="009A41AF"/>
    <w:rsid w:val="009B4F4E"/>
    <w:rsid w:val="009B6E5A"/>
    <w:rsid w:val="009C7A53"/>
    <w:rsid w:val="009C7F8F"/>
    <w:rsid w:val="009D5A59"/>
    <w:rsid w:val="009D778D"/>
    <w:rsid w:val="009E13C5"/>
    <w:rsid w:val="00A11157"/>
    <w:rsid w:val="00A17AE6"/>
    <w:rsid w:val="00A24ECC"/>
    <w:rsid w:val="00A25C93"/>
    <w:rsid w:val="00A3191C"/>
    <w:rsid w:val="00A405BD"/>
    <w:rsid w:val="00A642E5"/>
    <w:rsid w:val="00A9277A"/>
    <w:rsid w:val="00A94853"/>
    <w:rsid w:val="00AA2E7C"/>
    <w:rsid w:val="00AD4259"/>
    <w:rsid w:val="00B0372D"/>
    <w:rsid w:val="00B57F88"/>
    <w:rsid w:val="00B86B75"/>
    <w:rsid w:val="00B86DFA"/>
    <w:rsid w:val="00BA2601"/>
    <w:rsid w:val="00BB1B23"/>
    <w:rsid w:val="00BC48D5"/>
    <w:rsid w:val="00C1298F"/>
    <w:rsid w:val="00C15B12"/>
    <w:rsid w:val="00C31725"/>
    <w:rsid w:val="00C35488"/>
    <w:rsid w:val="00C36279"/>
    <w:rsid w:val="00C406B5"/>
    <w:rsid w:val="00C61B86"/>
    <w:rsid w:val="00CA162B"/>
    <w:rsid w:val="00CB7D14"/>
    <w:rsid w:val="00CC26A6"/>
    <w:rsid w:val="00CE11B5"/>
    <w:rsid w:val="00CF39A4"/>
    <w:rsid w:val="00D02F37"/>
    <w:rsid w:val="00D0566F"/>
    <w:rsid w:val="00D1175E"/>
    <w:rsid w:val="00D32662"/>
    <w:rsid w:val="00D40614"/>
    <w:rsid w:val="00D64A94"/>
    <w:rsid w:val="00D76E18"/>
    <w:rsid w:val="00D94B2A"/>
    <w:rsid w:val="00DA66BC"/>
    <w:rsid w:val="00DB0E90"/>
    <w:rsid w:val="00DB6ACF"/>
    <w:rsid w:val="00DE71BF"/>
    <w:rsid w:val="00DF2DB9"/>
    <w:rsid w:val="00E12563"/>
    <w:rsid w:val="00E1645B"/>
    <w:rsid w:val="00E315A3"/>
    <w:rsid w:val="00E339AA"/>
    <w:rsid w:val="00E45D70"/>
    <w:rsid w:val="00E601F6"/>
    <w:rsid w:val="00E7074B"/>
    <w:rsid w:val="00E761DC"/>
    <w:rsid w:val="00E84106"/>
    <w:rsid w:val="00E922BC"/>
    <w:rsid w:val="00E9516A"/>
    <w:rsid w:val="00EA6CE0"/>
    <w:rsid w:val="00EB2C8F"/>
    <w:rsid w:val="00EC432F"/>
    <w:rsid w:val="00EE1547"/>
    <w:rsid w:val="00F26593"/>
    <w:rsid w:val="00F31590"/>
    <w:rsid w:val="00F46C00"/>
    <w:rsid w:val="00F47E25"/>
    <w:rsid w:val="00F617F9"/>
    <w:rsid w:val="00F836B6"/>
    <w:rsid w:val="00F8782E"/>
    <w:rsid w:val="00FA140B"/>
    <w:rsid w:val="00FA3183"/>
    <w:rsid w:val="00FA486E"/>
    <w:rsid w:val="00FE32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E5A4E"/>
  <w15:docId w15:val="{C532CA8A-F009-4485-B4A7-7E917250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Rubrik1">
    <w:name w:val="heading 1"/>
    <w:basedOn w:val="Normal"/>
    <w:next w:val="Brdtext"/>
    <w:uiPriority w:val="9"/>
    <w:qFormat/>
    <w:rsid w:val="00303E83"/>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Rubrik2">
    <w:name w:val="heading 2"/>
    <w:basedOn w:val="Normal"/>
    <w:next w:val="Brdtext"/>
    <w:link w:val="Rubrik2Char"/>
    <w:uiPriority w:val="9"/>
    <w:unhideWhenUsed/>
    <w:qFormat/>
    <w:rsid w:val="00303E83"/>
    <w:pPr>
      <w:keepNext/>
      <w:keepLines/>
      <w:spacing w:before="200" w:after="0"/>
      <w:outlineLvl w:val="1"/>
    </w:pPr>
    <w:rPr>
      <w:rFonts w:ascii="Times New Roman" w:eastAsiaTheme="majorEastAsia" w:hAnsi="Times New Roman" w:cstheme="majorBidi"/>
      <w:b/>
      <w:bCs/>
      <w:sz w:val="28"/>
      <w:szCs w:val="32"/>
    </w:rPr>
  </w:style>
  <w:style w:type="paragraph" w:styleId="Rubrik3">
    <w:name w:val="heading 3"/>
    <w:basedOn w:val="Normal"/>
    <w:next w:val="Brdtext"/>
    <w:uiPriority w:val="9"/>
    <w:unhideWhenUsed/>
    <w:qFormat/>
    <w:rsid w:val="00303E83"/>
    <w:pPr>
      <w:keepNext/>
      <w:keepLines/>
      <w:spacing w:before="200" w:after="0"/>
      <w:outlineLvl w:val="2"/>
    </w:pPr>
    <w:rPr>
      <w:rFonts w:ascii="Times New Roman" w:eastAsiaTheme="majorEastAsia" w:hAnsi="Times New Roman" w:cstheme="majorBidi"/>
      <w:bCs/>
      <w:i/>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rsid w:val="0047607C"/>
    <w:pPr>
      <w:keepNext/>
      <w:keepLines/>
      <w:pageBreakBefore/>
      <w:spacing w:after="0" w:line="20" w:lineRule="exact"/>
      <w:outlineLvl w:val="4"/>
    </w:pPr>
    <w:rPr>
      <w:rFonts w:asciiTheme="majorHAnsi" w:eastAsiaTheme="majorEastAsia" w:hAnsiTheme="majorHAnsi" w:cstheme="majorBidi"/>
      <w:iCs/>
      <w:color w:val="FFFFFF" w:themeColor="background1"/>
      <w:sz w:val="16"/>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394F3D"/>
    <w:pPr>
      <w:spacing w:before="180" w:after="180" w:line="48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FF4F15"/>
    <w:pPr>
      <w:spacing w:before="0" w:after="0" w:line="240" w:lineRule="auto"/>
    </w:pPr>
    <w:rPr>
      <w:sz w:val="22"/>
    </w:rPr>
  </w:style>
  <w:style w:type="paragraph" w:styleId="Rubrik">
    <w:name w:val="Title"/>
    <w:basedOn w:val="Normal"/>
    <w:next w:val="Brdtext"/>
    <w:qFormat/>
    <w:rsid w:val="00303E83"/>
    <w:pPr>
      <w:keepNext/>
      <w:keepLines/>
      <w:spacing w:before="480" w:after="240"/>
      <w:jc w:val="center"/>
    </w:pPr>
    <w:rPr>
      <w:rFonts w:ascii="Times New Roman" w:eastAsiaTheme="majorEastAsia" w:hAnsi="Times New Roman"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rsid w:val="00303E83"/>
    <w:pPr>
      <w:keepNext/>
      <w:keepLines/>
      <w:jc w:val="center"/>
    </w:pPr>
    <w:rPr>
      <w:rFonts w:ascii="Times New Roman" w:hAnsi="Times New Roman"/>
    </w:rPr>
  </w:style>
  <w:style w:type="paragraph" w:styleId="Datum">
    <w:name w:val="Date"/>
    <w:next w:val="Brdtext"/>
    <w:qFormat/>
    <w:pPr>
      <w:keepNext/>
      <w:keepLines/>
      <w:jc w:val="center"/>
    </w:pPr>
  </w:style>
  <w:style w:type="paragraph" w:customStyle="1" w:styleId="Abstract">
    <w:name w:val="Abstract"/>
    <w:basedOn w:val="Normal"/>
    <w:next w:val="Brdtext"/>
    <w:qFormat/>
    <w:rsid w:val="00303E83"/>
    <w:pPr>
      <w:keepNext/>
      <w:keepLines/>
      <w:spacing w:before="300" w:after="300"/>
    </w:pPr>
    <w:rPr>
      <w:rFonts w:ascii="Times New Roman" w:hAnsi="Times New Roman"/>
      <w:sz w:val="20"/>
      <w:szCs w:val="20"/>
    </w:rPr>
  </w:style>
  <w:style w:type="paragraph" w:styleId="Litteraturfrteckning">
    <w:name w:val="Bibliography"/>
    <w:basedOn w:val="Normal"/>
    <w:qFormat/>
    <w:rsid w:val="00E028AD"/>
    <w:pPr>
      <w:spacing w:before="180"/>
    </w:pPr>
    <w:rPr>
      <w:rFonts w:ascii="Times New Roman" w:hAnsi="Times New Roman"/>
    </w:rPr>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idhuvud">
    <w:name w:val="header"/>
    <w:basedOn w:val="Normal"/>
    <w:link w:val="SidhuvudChar"/>
    <w:unhideWhenUsed/>
    <w:rsid w:val="004B0BD0"/>
    <w:pPr>
      <w:tabs>
        <w:tab w:val="center" w:pos="4536"/>
        <w:tab w:val="right" w:pos="9072"/>
      </w:tabs>
      <w:spacing w:after="0"/>
    </w:pPr>
  </w:style>
  <w:style w:type="character" w:customStyle="1" w:styleId="SidhuvudChar">
    <w:name w:val="Sidhuvud Char"/>
    <w:basedOn w:val="Standardstycketeckensnitt"/>
    <w:link w:val="Sidhuvud"/>
    <w:rsid w:val="004B0BD0"/>
  </w:style>
  <w:style w:type="paragraph" w:styleId="Sidfot">
    <w:name w:val="footer"/>
    <w:basedOn w:val="Normal"/>
    <w:link w:val="SidfotChar"/>
    <w:uiPriority w:val="99"/>
    <w:unhideWhenUsed/>
    <w:rsid w:val="004B0BD0"/>
    <w:pPr>
      <w:tabs>
        <w:tab w:val="center" w:pos="4536"/>
        <w:tab w:val="right" w:pos="9072"/>
      </w:tabs>
      <w:spacing w:after="0"/>
    </w:pPr>
  </w:style>
  <w:style w:type="character" w:customStyle="1" w:styleId="SidfotChar">
    <w:name w:val="Sidfot Char"/>
    <w:basedOn w:val="Standardstycketeckensnitt"/>
    <w:link w:val="Sidfot"/>
    <w:uiPriority w:val="99"/>
    <w:rsid w:val="004B0BD0"/>
  </w:style>
  <w:style w:type="paragraph" w:styleId="Ballongtext">
    <w:name w:val="Balloon Text"/>
    <w:basedOn w:val="Normal"/>
    <w:link w:val="BallongtextChar"/>
    <w:semiHidden/>
    <w:unhideWhenUsed/>
    <w:rsid w:val="00D64A94"/>
    <w:pPr>
      <w:spacing w:after="0"/>
    </w:pPr>
    <w:rPr>
      <w:rFonts w:ascii="Segoe UI" w:hAnsi="Segoe UI" w:cs="Segoe UI"/>
      <w:sz w:val="18"/>
      <w:szCs w:val="18"/>
    </w:rPr>
  </w:style>
  <w:style w:type="character" w:customStyle="1" w:styleId="BallongtextChar">
    <w:name w:val="Ballongtext Char"/>
    <w:basedOn w:val="Standardstycketeckensnitt"/>
    <w:link w:val="Ballongtext"/>
    <w:semiHidden/>
    <w:rsid w:val="00D64A94"/>
    <w:rPr>
      <w:rFonts w:ascii="Segoe UI" w:hAnsi="Segoe UI" w:cs="Segoe UI"/>
      <w:sz w:val="18"/>
      <w:szCs w:val="18"/>
    </w:rPr>
  </w:style>
  <w:style w:type="character" w:customStyle="1" w:styleId="Rubrik2Char">
    <w:name w:val="Rubrik 2 Char"/>
    <w:basedOn w:val="Standardstycketeckensnitt"/>
    <w:link w:val="Rubrik2"/>
    <w:uiPriority w:val="9"/>
    <w:qFormat/>
    <w:rsid w:val="00940DB6"/>
    <w:rPr>
      <w:rFonts w:ascii="Times New Roman" w:eastAsiaTheme="majorEastAsia" w:hAnsi="Times New Roman" w:cstheme="majorBidi"/>
      <w:b/>
      <w:bCs/>
      <w:sz w:val="28"/>
      <w:szCs w:val="32"/>
    </w:rPr>
  </w:style>
  <w:style w:type="character" w:customStyle="1" w:styleId="citation-publication-date">
    <w:name w:val="citation-publication-date"/>
    <w:basedOn w:val="Standardstycketeckensnitt"/>
    <w:rsid w:val="006508D7"/>
  </w:style>
  <w:style w:type="character" w:customStyle="1" w:styleId="doi">
    <w:name w:val="doi"/>
    <w:basedOn w:val="Standardstycketeckensnitt"/>
    <w:rsid w:val="00650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028856">
      <w:bodyDiv w:val="1"/>
      <w:marLeft w:val="0"/>
      <w:marRight w:val="0"/>
      <w:marTop w:val="0"/>
      <w:marBottom w:val="0"/>
      <w:divBdr>
        <w:top w:val="none" w:sz="0" w:space="0" w:color="auto"/>
        <w:left w:val="none" w:sz="0" w:space="0" w:color="auto"/>
        <w:bottom w:val="none" w:sz="0" w:space="0" w:color="auto"/>
        <w:right w:val="none" w:sz="0" w:space="0" w:color="auto"/>
      </w:divBdr>
    </w:div>
    <w:div w:id="1307246973">
      <w:bodyDiv w:val="1"/>
      <w:marLeft w:val="0"/>
      <w:marRight w:val="0"/>
      <w:marTop w:val="0"/>
      <w:marBottom w:val="0"/>
      <w:divBdr>
        <w:top w:val="none" w:sz="0" w:space="0" w:color="auto"/>
        <w:left w:val="none" w:sz="0" w:space="0" w:color="auto"/>
        <w:bottom w:val="none" w:sz="0" w:space="0" w:color="auto"/>
        <w:right w:val="none" w:sz="0" w:space="0" w:color="auto"/>
      </w:divBdr>
    </w:div>
    <w:div w:id="1391424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6069-4794"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EF8D9-EDEE-4439-A704-22149E23C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2478</TotalTime>
  <Pages>18</Pages>
  <Words>5002</Words>
  <Characters>26515</Characters>
  <Application>Microsoft Office Word</Application>
  <DocSecurity>0</DocSecurity>
  <Lines>220</Lines>
  <Paragraphs>62</Paragraphs>
  <ScaleCrop>false</ScaleCrop>
  <HeadingPairs>
    <vt:vector size="2" baseType="variant">
      <vt:variant>
        <vt:lpstr>Rubrik</vt:lpstr>
      </vt:variant>
      <vt:variant>
        <vt:i4>1</vt:i4>
      </vt:variant>
    </vt:vector>
  </HeadingPairs>
  <TitlesOfParts>
    <vt:vector size="1" baseType="lpstr">
      <vt:lpstr>Transferability of clinical prediction models for early trauma care</vt:lpstr>
    </vt:vector>
  </TitlesOfParts>
  <Company/>
  <LinksUpToDate>false</LinksUpToDate>
  <CharactersWithSpaces>31455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Transferability of clinical prediction models for early trauma care</dc:title>
  <dc:subject/>
  <dc:creator>Martin Henriksson</dc:creator>
  <cp:keywords/>
  <dc:description/>
  <cp:lastModifiedBy>Martin Henriksson</cp:lastModifiedBy>
  <cp:revision>64</cp:revision>
  <cp:lastPrinted>2020-01-31T19:20:00Z</cp:lastPrinted>
  <dcterms:created xsi:type="dcterms:W3CDTF">2019-10-13T20:53:00Z</dcterms:created>
  <dcterms:modified xsi:type="dcterms:W3CDTF">2020-04-24T14:49:00Z</dcterms:modified>
</cp:coreProperties>
</file>