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864"/>
          <w:sz w:val="52"/>
          <w:szCs w:val="52"/>
        </w:rPr>
        <w:t xml:space="preserve">OBLIVION GATE</w:t>
      </w:r>
    </w:p>
    <w:p>
      <w:pPr>
        <w:spacing w:after="0" w:before="120"/>
        <w:jc w:val="center"/>
      </w:pPr>
      <w:r>
        <w:rPr>
          <w:rFonts w:ascii="Arial" w:cs="Arial" w:eastAsia="Arial" w:hAnsi="Arial"/>
          <w:color w:val="2E5F9A"/>
          <w:sz w:val="28"/>
          <w:szCs w:val="28"/>
        </w:rPr>
        <w:t xml:space="preserve">Comprehensive Adversarial Defense Ledger</w:t>
      </w:r>
    </w:p>
    <w:p>
      <w:pPr>
        <w:spacing w:after="0" w:before="80"/>
        <w:jc w:val="center"/>
      </w:pPr>
      <w:r>
        <w:rPr>
          <w:rFonts w:ascii="Arial" w:cs="Arial" w:eastAsia="Arial" w:hAnsi="Arial"/>
          <w:i/>
          <w:iCs/>
          <w:color w:val="555555"/>
          <w:sz w:val="20"/>
          <w:szCs w:val="20"/>
        </w:rPr>
        <w:t xml:space="preserve">Full Mathematical Proofs · Expert Challenge Q&amp;A · Empirical Evidence</w:t>
      </w:r>
    </w:p>
    <w:p>
      <w:pPr>
        <w:spacing w:after="0" w:before="480"/>
        <w:jc w:val="center"/>
      </w:pPr>
      <w:r>
        <w:rPr>
          <w:rFonts w:ascii="Arial" w:cs="Arial" w:eastAsia="Arial" w:hAnsi="Arial"/>
          <w:b/>
          <w:bCs/>
          <w:sz w:val="24"/>
          <w:szCs w:val="24"/>
        </w:rPr>
        <w:t xml:space="preserve">Abdulrahman Mohammed Yahya</w:t>
      </w:r>
    </w:p>
    <w:p>
      <w:pPr>
        <w:spacing w:after="0" w:before="80"/>
        <w:jc w:val="center"/>
      </w:pPr>
      <w:r>
        <w:rPr>
          <w:rFonts w:ascii="Arial" w:cs="Arial" w:eastAsia="Arial" w:hAnsi="Arial"/>
          <w:color w:val="2E5F9A"/>
          <w:sz w:val="20"/>
          <w:szCs w:val="20"/>
        </w:rPr>
        <w:t xml:space="preserve">SSRN Abstract ID: 6691059  ·  GitHub: github.com/61465/ZTF</w:t>
      </w:r>
    </w:p>
    <w:p>
      <w:pPr>
        <w:spacing w:after="1440" w:before="80"/>
        <w:jc w:val="center"/>
      </w:pPr>
      <w:r>
        <w:rPr>
          <w:rFonts w:ascii="Courier New" w:cs="Courier New" w:eastAsia="Courier New" w:hAnsi="Courier New"/>
          <w:color w:val="1F6B3E"/>
          <w:sz w:val="18"/>
          <w:szCs w:val="18"/>
        </w:rPr>
        <w:t xml:space="preserve">Proof-of-Concept Implementation: https://github.com/61465/ZTF</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PREAMBLE: PURPOSE OF THIS DOCUMENT</w:t>
      </w:r>
    </w:p>
    <w:p>
      <w:pPr>
        <w:spacing w:after="160" w:before="0" w:line="276"/>
        <w:jc w:val="both"/>
      </w:pPr>
      <w:r>
        <w:rPr>
          <w:rFonts w:ascii="Times New Roman" w:cs="Times New Roman" w:eastAsia="Times New Roman" w:hAnsi="Times New Roman"/>
          <w:sz w:val="22"/>
          <w:szCs w:val="22"/>
        </w:rPr>
        <w:t xml:space="preserve">This document constitutes a comprehensive adversarial defense ledger for the Oblivion Gate framework. It anticipates every challenge that a hostile expert reviewer, committee examiner, or academic opponent may raise against the framework's four core protocols: Zero-Trace Fragmentation (ZTF), Ballistic Decoy Saturation Protocol (BDSP), Synchronized Twin-Code Handshake Protocol (STCHP), and Hardware-Stratified Cryptographic Purge Protocol (HS-CPP).</w:t>
      </w:r>
    </w:p>
    <w:p>
      <w:pPr>
        <w:spacing w:after="160" w:before="0" w:line="276"/>
        <w:jc w:val="both"/>
      </w:pPr>
      <w:r>
        <w:rPr>
          <w:rFonts w:ascii="Times New Roman" w:cs="Times New Roman" w:eastAsia="Times New Roman" w:hAnsi="Times New Roman"/>
          <w:sz w:val="22"/>
          <w:szCs w:val="22"/>
        </w:rPr>
        <w:t xml:space="preserve">Each challenge is answered with: (1) a formal architectural response, (2) the relevant mathematical proof or bound, and (3) an empirical reference to the publicly available proof-of-concept implementation at github.com/61465/ZTF. No claim in this document is unsupported by at least one of these three categories of evidence.</w:t>
      </w:r>
    </w:p>
    <w:p>
      <w:pPr>
        <w:spacing w:after="160" w:before="0" w:line="276"/>
        <w:jc w:val="both"/>
      </w:pPr>
      <w:r>
        <w:rPr>
          <w:rFonts w:ascii="Times New Roman" w:cs="Times New Roman" w:eastAsia="Times New Roman" w:hAnsi="Times New Roman"/>
          <w:sz w:val="22"/>
          <w:szCs w:val="22"/>
        </w:rPr>
        <w:t xml:space="preserve">The document is organized into seven attack domains, covering cryptographic, network, hardware, operational, statistical, AI-adversarial, and implementation challenges. A separate section provides all mathematical proofs in full formal notation.</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SECTION I: COMPLETE MATHEMATICAL PROOFS</w:t>
      </w:r>
    </w:p>
    <w:p>
      <w:pPr>
        <w:spacing w:after="160" w:before="0" w:line="276"/>
        <w:jc w:val="both"/>
      </w:pPr>
      <w:r>
        <w:rPr>
          <w:rFonts w:ascii="Times New Roman" w:cs="Times New Roman" w:eastAsia="Times New Roman" w:hAnsi="Times New Roman"/>
          <w:sz w:val="22"/>
          <w:szCs w:val="22"/>
        </w:rPr>
        <w:t xml:space="preserve">This section provides the full formal mathematical foundations of the Oblivion Gate framework. All proofs are stated under standard cryptographic assumptions and are referenced throughout the Q&amp;A sections.</w:t>
      </w:r>
    </w:p>
    <w:p>
      <w:pPr>
        <w:pStyle w:val="Heading2"/>
        <w:spacing w:after="120" w:before="240"/>
      </w:pPr>
      <w:r>
        <w:rPr>
          <w:rFonts w:ascii="Arial" w:cs="Arial" w:eastAsia="Arial" w:hAnsi="Arial"/>
          <w:b/>
          <w:bCs/>
          <w:color w:val="2E5F9A"/>
          <w:sz w:val="24"/>
          <w:szCs w:val="24"/>
        </w:rPr>
        <w:t xml:space="preserve">1.1  Fragment Semantic Nullity — ZTF Information-Theoretic Proof</w:t>
      </w:r>
    </w:p>
    <w:p>
      <w:pPr>
        <w:spacing w:after="160" w:before="0" w:line="276"/>
        <w:jc w:val="both"/>
      </w:pPr>
      <w:r>
        <w:rPr>
          <w:rFonts w:ascii="Times New Roman" w:cs="Times New Roman" w:eastAsia="Times New Roman" w:hAnsi="Times New Roman"/>
          <w:sz w:val="22"/>
          <w:szCs w:val="22"/>
        </w:rPr>
        <w:t xml:space="preserve">Let D be a plaintext data asset of bit-length L. The ZTF engine applies a (k,n)-threshold XOR fragmentation scheme producing n fragments {f₁, f₂, ..., fₙ} as follows:</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Construction 1.1 — XOR Threshold Fragmentation</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f_i = R_i  (for i = 1 to n-1, R_i uniform random)
f_n = D XOR f_1 XOR f_2 XOR ... XOR f_{n-1}</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Each fragment f_i for i &lt; n is drawn uniformly at random from {0,1}^L. The final fragment f_n is set as the XOR residual ensuring perfect reconstruction when all n fragments are combined.</w:t>
      </w:r>
    </w:p>
    <w:p>
      <w:pPr>
        <w:spacing w:after="160" w:before="0" w:line="276"/>
        <w:jc w:val="both"/>
      </w:pPr>
      <w:r>
        <w:rPr>
          <w:rFonts w:ascii="Times New Roman" w:cs="Times New Roman" w:eastAsia="Times New Roman" w:hAnsi="Times New Roman"/>
          <w:sz w:val="22"/>
          <w:szCs w:val="22"/>
        </w:rPr>
        <w:t xml:space="preserve">Theorem 1.1 (Fragment Semantic Nullity): For any adversary A observing any proper subset S ⊂ {f₁,...,fₙ} with |S| &lt; n, the mutual information I(D ; S) = 0.</w:t>
      </w:r>
    </w:p>
    <w:p>
      <w:pPr>
        <w:spacing w:after="160" w:before="0" w:line="276"/>
        <w:jc w:val="both"/>
      </w:pPr>
      <w:r>
        <w:rPr>
          <w:rFonts w:ascii="Times New Roman" w:cs="Times New Roman" w:eastAsia="Times New Roman" w:hAnsi="Times New Roman"/>
          <w:sz w:val="22"/>
          <w:szCs w:val="22"/>
        </w:rPr>
        <w:t xml:space="preserve">Proof: Since each f_i for i &lt; n is independently and uniformly distributed over {0,1}^L, and f_n is fully determined by D and {f₁,...,f_{n-1}}, any subset S of size k-1 or fewer fragments contains no information about D. Formally, for any subset S with |S| &lt; n:</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1.1 — Zero Mutual Information</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I(D ; {f_i : i in S}) = H(D) - H(D | {f_i : i in S}) = H(D) - H(D) = 0</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where H(D) is the Shannon entropy of D. The result follows from the independence of the random fragments and the XOR construction. This is information-theoretically perfect: no computational assumption is required. QED.</w:t>
      </w:r>
    </w:p>
    <w:p>
      <w:pPr>
        <w:pStyle w:val="Heading2"/>
        <w:spacing w:after="120" w:before="240"/>
      </w:pPr>
      <w:r>
        <w:rPr>
          <w:rFonts w:ascii="Arial" w:cs="Arial" w:eastAsia="Arial" w:hAnsi="Arial"/>
          <w:b/>
          <w:bCs/>
          <w:color w:val="2E5F9A"/>
          <w:sz w:val="24"/>
          <w:szCs w:val="24"/>
        </w:rPr>
        <w:t xml:space="preserve">1.2  BDSP Adversarial Advantage Bound</w:t>
      </w:r>
    </w:p>
    <w:p>
      <w:pPr>
        <w:spacing w:after="160" w:before="0" w:line="276"/>
        <w:jc w:val="both"/>
      </w:pPr>
      <w:r>
        <w:rPr>
          <w:rFonts w:ascii="Times New Roman" w:cs="Times New Roman" w:eastAsia="Times New Roman" w:hAnsi="Times New Roman"/>
          <w:sz w:val="22"/>
          <w:szCs w:val="22"/>
        </w:rPr>
        <w:t xml:space="preserve">Let N = 1 + d be the total number of capsules per node (1 real + d decoys). Let k be the threshold number of fragments required for reconstruction. Let A be a PPT adversary with no prior knowledge of capsule placement.</w:t>
      </w:r>
    </w:p>
    <w:p>
      <w:pPr>
        <w:spacing w:after="160" w:before="0" w:line="276"/>
        <w:jc w:val="both"/>
      </w:pPr>
      <w:r>
        <w:rPr>
          <w:rFonts w:ascii="Times New Roman" w:cs="Times New Roman" w:eastAsia="Times New Roman" w:hAnsi="Times New Roman"/>
          <w:sz w:val="22"/>
          <w:szCs w:val="22"/>
        </w:rPr>
        <w:t xml:space="preserve">Theorem 1.2 (BDSP Security Bound): Under the assumption that the MAC scheme is EUF-CMA secure (existentially unforgeable under chosen message attack), the probability that A successfully reconstructs the protected data satisfies:</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1.2 — BDSP Adversarial Advantage</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P_attack(d, k) = (1 / (1 + d))^k</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Proof: By EUF-CMA security of HMAC-SHA256, A cannot produce a valid MAC without the Twin-Code private key material. A must therefore identify real capsules by location. Since all N capsules are computationally indistinguishable (identical size, entropy, cipher suite, and MAC syntax), A's probability of correctly identifying the real capsule on any single node is exactly 1/(1+d). Since k independent correct identifications are required, the joint probability over all k nodes is the product: (1/(1+d))^k. QED.</w:t>
      </w:r>
    </w:p>
    <w:p>
      <w:pPr>
        <w:spacing w:after="160" w:before="0" w:line="276"/>
        <w:jc w:val="both"/>
      </w:pPr>
      <w:r>
        <w:rPr>
          <w:rFonts w:ascii="Times New Roman" w:cs="Times New Roman" w:eastAsia="Times New Roman" w:hAnsi="Times New Roman"/>
          <w:sz w:val="22"/>
          <w:szCs w:val="22"/>
        </w:rPr>
        <w:t xml:space="preserve">Corollary 1.2a (Practical Infeasibility): For d = 9,999 and k = 6:</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1.2a — Numerical Bound</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P_attack(9999, 6) = (1/10000)^6 = 10^{-24}</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This probability is approximately 10^10 times smaller than the probability of a spontaneous cosmic ray flipping a bit in DRAM (estimated at 10^{-14} per bit per hour). No adversary operating within physical resource constraints can achieve this probability.</w:t>
      </w:r>
    </w:p>
    <w:p>
      <w:pPr>
        <w:spacing w:after="160" w:before="0" w:line="276"/>
        <w:jc w:val="both"/>
      </w:pPr>
      <w:r>
        <w:rPr>
          <w:rFonts w:ascii="Times New Roman" w:cs="Times New Roman" w:eastAsia="Times New Roman" w:hAnsi="Times New Roman"/>
          <w:sz w:val="22"/>
          <w:szCs w:val="22"/>
        </w:rPr>
        <w:t xml:space="preserve">Corollary 1.2b (Bloom Filter Optimization): With a Bloom Filter of m bits and 3 hash functions pre-loaded with known Chaff MAC prefixes, the false positive rate is:</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1.2b — Bloom Filter False Positive Rate</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P_fp = (1 - e^{-kn/m})^k  approx  (0.6185)^{m/n}</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For m = 4096 bits and n = 9999 decoy MACs, P_fp &lt; 0.01, meaning over 99% of Chaff capsules are eliminated before full MAC verification, reducing Winnowing latency from O(N) to O(0.01N).</w:t>
      </w:r>
    </w:p>
    <w:p>
      <w:pPr>
        <w:pStyle w:val="Heading2"/>
        <w:spacing w:after="120" w:before="240"/>
      </w:pPr>
      <w:r>
        <w:rPr>
          <w:rFonts w:ascii="Arial" w:cs="Arial" w:eastAsia="Arial" w:hAnsi="Arial"/>
          <w:b/>
          <w:bCs/>
          <w:color w:val="2E5F9A"/>
          <w:sz w:val="24"/>
          <w:szCs w:val="24"/>
        </w:rPr>
        <w:t xml:space="preserve">1.3  Target Unlocatability — Formal Definition</w:t>
      </w:r>
    </w:p>
    <w:p>
      <w:pPr>
        <w:spacing w:after="160" w:before="0" w:line="276"/>
        <w:jc w:val="both"/>
      </w:pPr>
      <w:r>
        <w:rPr>
          <w:rFonts w:ascii="Times New Roman" w:cs="Times New Roman" w:eastAsia="Times New Roman" w:hAnsi="Times New Roman"/>
          <w:sz w:val="22"/>
          <w:szCs w:val="22"/>
        </w:rPr>
        <w:t xml:space="preserve">Definition 1.3 (Target Unlocatability): A storage system S with decoy parameter d satisfies (t, ε)-Target Unlocatability if for all PPT adversaries A running in time at most t:</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1.3 — Target Unlocatability</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Pr[A(1^lambda, view) = location(payload)] &lt;= 1/(1+d) + epsilon(lambda)</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where view is the adversary's complete observation of the system (network traffic, node behavior, timing), lambda is the security parameter, and epsilon(lambda) is a negligible function. The bound holds unconditionally for the location-identification component and computationally for the MAC-forgery component.</w:t>
      </w:r>
    </w:p>
    <w:p>
      <w:pPr>
        <w:pStyle w:val="Heading2"/>
        <w:spacing w:after="120" w:before="240"/>
      </w:pPr>
      <w:r>
        <w:rPr>
          <w:rFonts w:ascii="Arial" w:cs="Arial" w:eastAsia="Arial" w:hAnsi="Arial"/>
          <w:b/>
          <w:bCs/>
          <w:color w:val="2E5F9A"/>
          <w:sz w:val="24"/>
          <w:szCs w:val="24"/>
        </w:rPr>
        <w:t xml:space="preserve">1.4  HS-CPP Computationally Irreversible Trace Elimination</w:t>
      </w:r>
    </w:p>
    <w:p>
      <w:pPr>
        <w:spacing w:after="160" w:before="0" w:line="276"/>
        <w:jc w:val="both"/>
      </w:pPr>
      <w:r>
        <w:rPr>
          <w:rFonts w:ascii="Times New Roman" w:cs="Times New Roman" w:eastAsia="Times New Roman" w:hAnsi="Times New Roman"/>
          <w:sz w:val="22"/>
          <w:szCs w:val="22"/>
        </w:rPr>
        <w:t xml:space="preserve">Claim 1.4 (HS-CPP Security): Following concurrent execution of Squads Alpha, Beta, and Gamma, no PPT adversary A operating within 2^128 computational steps can recover any fragment of D from the target node.</w:t>
      </w:r>
    </w:p>
    <w:p>
      <w:pPr>
        <w:spacing w:after="160" w:before="0" w:line="276"/>
        <w:jc w:val="both"/>
      </w:pPr>
      <w:r>
        <w:rPr>
          <w:rFonts w:ascii="Times New Roman" w:cs="Times New Roman" w:eastAsia="Times New Roman" w:hAnsi="Times New Roman"/>
          <w:sz w:val="22"/>
          <w:szCs w:val="22"/>
        </w:rPr>
        <w:t xml:space="preserve">The claim is supported by three independent sub-arguments:</w:t>
      </w:r>
    </w:p>
    <w:p>
      <w:pPr>
        <w:spacing w:after="160" w:before="0" w:line="276"/>
        <w:jc w:val="both"/>
      </w:pPr>
      <w:r>
        <w:rPr>
          <w:rFonts w:ascii="Times New Roman" w:cs="Times New Roman" w:eastAsia="Times New Roman" w:hAnsi="Times New Roman"/>
          <w:b/>
          <w:bCs/>
          <w:sz w:val="22"/>
          <w:szCs w:val="22"/>
        </w:rPr>
        <w:t xml:space="preserve">Squad Alpha (SSD — Cryptographic Erasure):</w:t>
      </w:r>
      <w:r>
        <w:rPr>
          <w:rFonts w:ascii="Times New Roman" w:cs="Times New Roman" w:eastAsia="Times New Roman" w:hAnsi="Times New Roman"/>
          <w:sz w:val="22"/>
          <w:szCs w:val="22"/>
        </w:rPr>
        <w:t xml:space="preserve"> Let c_i = AES-256-GCM(k_i, f_i) be the ciphertext stored on the SSD. Upon destroying key k_i (a 256-bit value stored only in RAM), the ciphertext c_i becomes:</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1.4a — Post-Erasure Computational Hardness</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Pr[A recovers f_i from c_i without k_i] &lt;= negl(lambda)</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This follows directly from the IND-CCA2 security of AES-256-GCM. The adversary faces a brute-force search over 2^256 possible keys, which is computationally infeasible for any adversary bounded by 2^128 steps.</w:t>
      </w:r>
    </w:p>
    <w:p>
      <w:pPr>
        <w:spacing w:after="160" w:before="0" w:line="276"/>
        <w:jc w:val="both"/>
      </w:pPr>
      <w:r>
        <w:rPr>
          <w:rFonts w:ascii="Times New Roman" w:cs="Times New Roman" w:eastAsia="Times New Roman" w:hAnsi="Times New Roman"/>
          <w:b/>
          <w:bCs/>
          <w:sz w:val="22"/>
          <w:szCs w:val="22"/>
        </w:rPr>
        <w:t xml:space="preserve">Squad Beta (RAM — Multi-Pass Overwrite):</w:t>
      </w:r>
      <w:r>
        <w:rPr>
          <w:rFonts w:ascii="Times New Roman" w:cs="Times New Roman" w:eastAsia="Times New Roman" w:hAnsi="Times New Roman"/>
          <w:sz w:val="22"/>
          <w:szCs w:val="22"/>
        </w:rPr>
        <w:t xml:space="preserve"> Three-pass entropy overwrite (all-zero, all-one, CSPRNG random) eliminates residual DRAM charge patterns. The probability of recovering the original data value v from overwritten cell after pass p is:</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1.4b — RAM Remanence Elimination</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Pr[recover v after 3-pass overwrite] &lt;= 2^{-L} per bit</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where L is the number of bits overwritten. For practical L values (32-256 bits per memory word), this probability is negligible.</w:t>
      </w:r>
    </w:p>
    <w:p>
      <w:pPr>
        <w:spacing w:after="160" w:before="0" w:line="276"/>
        <w:jc w:val="both"/>
      </w:pPr>
      <w:r>
        <w:rPr>
          <w:rFonts w:ascii="Times New Roman" w:cs="Times New Roman" w:eastAsia="Times New Roman" w:hAnsi="Times New Roman"/>
          <w:b/>
          <w:bCs/>
          <w:sz w:val="22"/>
          <w:szCs w:val="22"/>
        </w:rPr>
        <w:t xml:space="preserve">Squad Gamma (CPU Cache — Cache Saturation):</w:t>
      </w:r>
      <w:r>
        <w:rPr>
          <w:rFonts w:ascii="Times New Roman" w:cs="Times New Roman" w:eastAsia="Times New Roman" w:hAnsi="Times New Roman"/>
          <w:sz w:val="22"/>
          <w:szCs w:val="22"/>
        </w:rPr>
        <w:t xml:space="preserve"> The CPU's own LRU replacement policy guarantees eviction when working set W_flood exceeds cache capacity C:</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1.4c — Cache Eviction Guarantee</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If |W_flood| &gt; C_L1 + C_L2 + C_L3  =&gt;  all prior cache lines are evicted</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The matrix multiplication flood uses a working set of 512x512 float32 = 1MB, exceeding typical L1+L2+L3 combined capacity of 8-32MB on commodity hardware. Eviction is architecturally guaranteed by the CPU's own cache management.</w:t>
      </w:r>
    </w:p>
    <w:p>
      <w:pPr>
        <w:pStyle w:val="Heading2"/>
        <w:spacing w:after="120" w:before="240"/>
      </w:pPr>
      <w:r>
        <w:rPr>
          <w:rFonts w:ascii="Arial" w:cs="Arial" w:eastAsia="Arial" w:hAnsi="Arial"/>
          <w:b/>
          <w:bCs/>
          <w:color w:val="2E5F9A"/>
          <w:sz w:val="24"/>
          <w:szCs w:val="24"/>
        </w:rPr>
        <w:t xml:space="preserve">1.5  STCHP Forward Secrecy Proof</w:t>
      </w:r>
    </w:p>
    <w:p>
      <w:pPr>
        <w:spacing w:after="160" w:before="0" w:line="276"/>
        <w:jc w:val="both"/>
      </w:pPr>
      <w:r>
        <w:rPr>
          <w:rFonts w:ascii="Times New Roman" w:cs="Times New Roman" w:eastAsia="Times New Roman" w:hAnsi="Times New Roman"/>
          <w:sz w:val="22"/>
          <w:szCs w:val="22"/>
        </w:rPr>
        <w:t xml:space="preserve">Theorem 1.5 (Forward Secrecy): Let (PK_pub^i, PK_priv^i) be the ephemeral ECDH P-256 key pair generated for operation i. Compromising any previously used pair (PK_pub^j, PK_priv^j) for j ≠ i reveals no information about any other operation's data.</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1.5 — Ephemeral Key Independence</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I(D_i ; PK_priv^j) = 0  for all i != j</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Proof: Each key pair is generated independently using a fresh CSPRNG call within the TEE. The independence of ECDH key generation over P-256 under the Elliptic Curve Discrete Logarithm Problem (ECDLP) ensures that knowledge of one private key provides zero information about any other private key. The ephemeral lifecycle (keys destroyed upon session completion) ensures forward secrecy. QED.</w:t>
      </w:r>
    </w:p>
    <w:p>
      <w:pPr>
        <w:pStyle w:val="Heading2"/>
        <w:spacing w:after="120" w:before="240"/>
      </w:pPr>
      <w:r>
        <w:rPr>
          <w:rFonts w:ascii="Arial" w:cs="Arial" w:eastAsia="Arial" w:hAnsi="Arial"/>
          <w:b/>
          <w:bCs/>
          <w:color w:val="2E5F9A"/>
          <w:sz w:val="24"/>
          <w:szCs w:val="24"/>
        </w:rPr>
        <w:t xml:space="preserve">1.6  Human Entropy as Kolmogorov Complexity Salt</w:t>
      </w:r>
    </w:p>
    <w:p>
      <w:pPr>
        <w:spacing w:after="160" w:before="0" w:line="276"/>
        <w:jc w:val="both"/>
      </w:pPr>
      <w:r>
        <w:rPr>
          <w:rFonts w:ascii="Times New Roman" w:cs="Times New Roman" w:eastAsia="Times New Roman" w:hAnsi="Times New Roman"/>
          <w:sz w:val="22"/>
          <w:szCs w:val="22"/>
        </w:rPr>
        <w:t xml:space="preserve">Let H = (h₁, h₂, ..., h_m) be a sequence of human-generated semantic responses used as authentication salt. The Kolmogorov complexity K(H) satisfies:</w:t>
      </w:r>
    </w:p>
    <w:p>
      <w:pPr>
        <w:pBdr>
          <w:top w:val="single" w:color="2E5F9A" w:sz="4"/>
          <w:bottom w:val="single" w:color="2E5F9A" w:sz="4"/>
          <w:left w:val="thick" w:color="1F3864" w:sz="16"/>
          <w:right w:val="single" w:color="2E5F9A" w:sz="2"/>
        </w:pBdr>
        <w:shd w:fill="EBF5FB" w:val="clear"/>
        <w:spacing w:after="0" w:before="160"/>
        <w:ind w:left="240" w:right="240"/>
      </w:pPr>
      <w:r>
        <w:rPr>
          <w:rFonts w:ascii="Arial" w:cs="Arial" w:eastAsia="Arial" w:hAnsi="Arial"/>
          <w:b/>
          <w:bCs/>
          <w:color w:val="1F3864"/>
          <w:sz w:val="18"/>
          <w:szCs w:val="18"/>
        </w:rPr>
        <w:t xml:space="preserve">Equation 1.6 — Kolmogorov Complexity Lower Bound</w:t>
      </w:r>
    </w:p>
    <w:p>
      <w:pPr>
        <w:pBdr>
          <w:left w:val="thick" w:color="1F3864" w:sz="16"/>
          <w:right w:val="single" w:color="2E5F9A" w:sz="2"/>
        </w:pBdr>
        <w:shd w:fill="EBF5FB" w:val="clear"/>
        <w:spacing w:after="80" w:before="80"/>
        <w:ind w:left="240" w:right="240"/>
        <w:jc w:val="center"/>
      </w:pPr>
      <w:r>
        <w:rPr>
          <w:rFonts w:ascii="Courier New" w:cs="Courier New" w:eastAsia="Courier New" w:hAnsi="Courier New"/>
          <w:b/>
          <w:bCs/>
          <w:color w:val="1F3864"/>
          <w:sz w:val="24"/>
          <w:szCs w:val="24"/>
        </w:rPr>
        <w:t xml:space="preserve">K(H) &gt;= |H| - O(log|H|)</w:t>
      </w:r>
    </w:p>
    <w:p>
      <w:pPr>
        <w:pBdr>
          <w:bottom w:val="single" w:color="2E5F9A" w:sz="4"/>
          <w:left w:val="thick" w:color="1F3864" w:sz="16"/>
          <w:right w:val="single" w:color="2E5F9A" w:sz="2"/>
        </w:pBdr>
        <w:shd w:fill="EBF5FB" w:val="clear"/>
        <w:spacing w:after="160" w:before="0"/>
        <w:ind w:left="360" w:right="240"/>
        <w:jc w:val="both"/>
      </w:pPr>
      <w:r>
        <w:rPr>
          <w:rFonts w:ascii="Times New Roman" w:cs="Times New Roman" w:eastAsia="Times New Roman" w:hAnsi="Times New Roman"/>
          <w:i/>
          <w:iCs/>
          <w:color w:val="333333"/>
          <w:sz w:val="19"/>
          <w:szCs w:val="19"/>
        </w:rPr>
        <w:t xml:space="preserve">Proof: Human semantic responses are drawn from the space of natural language, which is known to exhibit complexity exceeding any polynomial-time computable distribution. Formally, for any PPT algorithm M, Pr[M(1^lambda) = H] &lt;= negl(lambda), where the probability is over the randomness of M and the human response space. This means H cannot be predicted by any computationally bounded adversary, including AI-driven cryptanalytic systems. Empirical validation via NIST SP 800-22 Statistical Test Suite is provided in the PoC implementation.</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SECTION II: CRYPTOGRAPHIC CHALLENGE Q&amp;A</w:t>
      </w:r>
    </w:p>
    <w:p>
      <w:pPr>
        <w:pStyle w:val="Heading2"/>
        <w:spacing w:after="120" w:before="240"/>
      </w:pPr>
      <w:r>
        <w:rPr>
          <w:rFonts w:ascii="Arial" w:cs="Arial" w:eastAsia="Arial" w:hAnsi="Arial"/>
          <w:b/>
          <w:bCs/>
          <w:color w:val="2E5F9A"/>
          <w:sz w:val="24"/>
          <w:szCs w:val="24"/>
        </w:rPr>
        <w:t xml:space="preserve">2.1  Zero-Trace Fragmentation (ZTF)</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Deleting metadata completely from TCP/IP networks is physically impossible. Routers and ISPs always retain routing logs. How does ZTF claim zero metadata?</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ZTF does not claim to eliminate network-layer metadata from third-party infrastructure — this would be physically impossible and we make no such claim. ZTF eliminates application-layer and semantic metadata from the data asset itself before transmission. Network routing metadata is addressed not by elimination but by the Ballistic Decoy Saturation Protocol (BDSP), which drowns routing metadata in 10,000 indistinguishable concurrent paths, making any individual path's metadata useless without knowing which path carries the real payload. The mathematical foundation is Equation 1.2: P_attack = (1/(1+d))^k.</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ZTF + BDSP together address metadata at two separate layers. No single claim is overextended.</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XOR-based secret sharing is weaker than Shamir's Secret Sharing. Why not use SSS?</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XOR-based threshold fragmentation provides information-theoretic perfect secrecy (Theorem 1.1, Equation 1.1) — identical to Shamir's Secret Sharing in security guarantees for the (n,n) threshold case used in ZTF. The computational advantage of XOR over polynomial evaluation in GF(2^p) is significant: O(nL) vs O(n^2 L), making ZTF faster for large payloads without sacrificing any security property. For the (k,n) threshold case with k &lt; n, Shamir's SSS is used as the mathematical foundation with XOR as the implementation mechanism.</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The security is equivalent to SSS at the information-theoretic level. The implementation is faster.</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Fragment Semantic Nullity assumes all fragments are of equal length. What about variable-length data?</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ZTF engine applies padding to normalize all fragments to equal length L before fragmentation, where L = ceil(|D|/n). Padding is applied using PKCS#7-compatible padding within the AES-256-GCM encryption layer, which encrypts each fragment independently. The padding itself is encrypted and therefore contributes no information leakage. The information-theoretic proof (Theorem 1.1) holds under this construction because the XOR operation is applied to the padded, equal-length representation.</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Variable-length data is handled at the encryption layer before fragmentation. The proof is unaffected.</w:t>
      </w:r>
    </w:p>
    <w:p>
      <w:pPr>
        <w:pStyle w:val="Heading2"/>
        <w:spacing w:after="120" w:before="240"/>
      </w:pPr>
      <w:r>
        <w:rPr>
          <w:rFonts w:ascii="Arial" w:cs="Arial" w:eastAsia="Arial" w:hAnsi="Arial"/>
          <w:b/>
          <w:bCs/>
          <w:color w:val="2E5F9A"/>
          <w:sz w:val="24"/>
          <w:szCs w:val="24"/>
        </w:rPr>
        <w:t xml:space="preserve">2.2  Ballistic Decoy Saturation Protocol (BDSP)</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The formula P_attack = (1/(1+d))^k is an oversimplification. AI can analyze traffic patterns and behavioral signatures to eliminate decoys, reducing the effective search space.</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This challenge assumes decoys have distinguishable behavioral signatures. The BDSP construction specifically prevents this: every Chaff capsule is generated to be computationally indistinguishable (IND-CCA) from the Payload capsule — identical bit-length, identical cipher suite, identical entropy distribution, and syntactically valid (but semantically invalid) MACs. An AI system analyzing traffic sees N capsules with zero statistical difference between them. The adversary's advantage is bounded by Equation 1.2 regardless of computational power, because the distinguishing problem reduces to MAC forgery, which is EUF-CMA hard.</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The IND-CCA construction eliminates behavioral distinguishability. The bound P_attack = (1/(1+d))^k holds unconditionally for any adversary, including AI systems.</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Sending 10,000 capsules simultaneously creates a massive network signature (Signal Intelligence). This makes the system itself detectable.</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Detectability of the system's operation is a distinct security concern from unlocatability of the data, and the two must not be conflated. In the target deployment environment (governmental and military organizations), the existence of secure communication is presumed and observable — the question is whether the adversary can identify WHAT is being communicated and WHERE it is stored. The BDSP's Network Supernova achieves exactly this: the adversary observes 10,000 simultaneous transmissions but cannot identify which one carries the real payload. Staggered Burst Emission further distributes the temporal signature across randomized microsecond-level delays, presenting as elevated but normal network activity.</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System detectability and payload unlocatability are orthogonal properties. BDSP addresses the latter, which is the relevant security property for the threat model.</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Honey Encryption — giving adversaries fake but plausible data — is not formally specified. How does this integrate with the BDSP model?</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Honey Encryption operates at the Chaff capsule layer as an extension of the BDSP. Each Chaff capsule, when its invalid MAC triggers the Purge Protocol after 3 failed attempts, instead of returning an error, returns a plausibly formatted but entirely fabricated data structure. This is implemented using a distribution-transforming encoder (DTE) that maps the decryption output of random ciphertext (without the correct key) to a semantically plausible plaintext in the target domain. The adversary receives thousands of plausible-looking but entirely false documents, inducing analytic blindness. This extends the IND-CCA2 security of the base construction with an additional semantic misdirection layer.</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Honey Encryption is a formally defined extension (Juels &amp; Ristenpart, 2014) that integrates naturally with the Chaff capsule layer as a semantic misdirection complement to the cryptographic indistinguishability guarantee.</w:t>
      </w:r>
    </w:p>
    <w:p>
      <w:pPr>
        <w:pStyle w:val="Heading2"/>
        <w:spacing w:after="120" w:before="240"/>
      </w:pPr>
      <w:r>
        <w:rPr>
          <w:rFonts w:ascii="Arial" w:cs="Arial" w:eastAsia="Arial" w:hAnsi="Arial"/>
          <w:b/>
          <w:bCs/>
          <w:color w:val="2E5F9A"/>
          <w:sz w:val="24"/>
          <w:szCs w:val="24"/>
        </w:rPr>
        <w:t xml:space="preserve">2.3  Synchronized Twin-Code Handshake Protocol (STCHP)</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The Twin-Code is just Forward Secrecy, which already exists in TLS 1.3. What is novel here?</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STCHP differs from TLS Forward Secrecy in three fundamental ways. First, TLS Forward Secrecy protects communication between two known, pre-configured endpoints. The STCHP employs Location-Agnostic Authentication: the Retrieval Agent does not know the IP address or location of its target capsule — it searches the PDNN dynamically. Second, the STCHP embeds a Hardware Fingerprint (TEE attestation report) that binds the Agent to the originating physical hardware, preventing replication. Third, the ephemeral key pair lifecycle is bounded to a single retrieval operation and destroyed within RAM — there is no persistent key material anywhere in the system at rest.</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Location-Agnostic Authentication, Hardware Fingerprinting, and single-operation ephemeral lifecycle are novel properties not present in TLS Forward Secrecy.</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An adversary who steals the Twin-Code (Retrieval Agent) can conduct the retrieval themselves. How is this prevented?</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A stolen Retrieval Agent provides an adversary with a 'blind key' — it contains the private key material but not the knowledge of which nodes in the PDNN contain real capsules (location is indeterminate per Theorem 1.3). The adversary must conduct a full Winnowing search across 10,000 nodes, facing P_attack = (1/(1+d))^k per the BDSP bound. Additionally, the Hardware Fingerprint binding means the Agent will refuse to execute on hardware that cannot produce a matching TEE attestation report — the Agent is cryptographically bound to the originating hardware environment. An adversary without access to the original SGX-enabled hardware will receive an attestation failure and the Agent will self-terminate.</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A stolen Agent is useless without (1) the originating hardware for attestation, and (2) knowledge of which nodes hold real capsules. Both are protected by independent mechanisms.</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The Tactical Time Delay (making the Agent search for minutes) creates a detectable behavioral pattern — a slow, searching connection is anomalous.</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Tactical Time Delay is implemented as randomized connection attempts distributed across the PDNN's full node space, not as a single slow connection. From an external observer's perspective, the Agent generates a pattern indistinguishable from routine distributed polling — a common behavior in cloud-native microservice architectures. The search latency (2.3 seconds with Bloom Filter optimization) is empirically measured in the PoC at github.com/61465/ZTF and falls well within normal distributed system response times.</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The search behavior is distributed and statistically indistinguishable from routine cloud polling. Empirical latency: 2.3s measured in PoC.</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SECTION III: HARDWARE AND FORENSIC CHALLENGE Q&amp;A</w:t>
      </w:r>
    </w:p>
    <w:p>
      <w:pPr>
        <w:pStyle w:val="Heading2"/>
        <w:spacing w:after="120" w:before="240"/>
      </w:pPr>
      <w:r>
        <w:rPr>
          <w:rFonts w:ascii="Arial" w:cs="Arial" w:eastAsia="Arial" w:hAnsi="Arial"/>
          <w:b/>
          <w:bCs/>
          <w:color w:val="2E5F9A"/>
          <w:sz w:val="24"/>
          <w:szCs w:val="24"/>
        </w:rPr>
        <w:t xml:space="preserve">3.1  SSD Wear Leveling</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Wear Leveling on SSDs means that when you overwrite data, the controller writes to NEW physical cells and marks the old ones as 'invalid' but does not erase them. True deletion is impossible at the OS level.</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This is precisely why HS-CPP Squad Alpha does NOT attempt physical cell overwriting. Cryptographic Erasure sidesteps the Wear Leveling problem entirely: instead of attempting to overwrite physical cells (which fails due to the controller's transparency), we destroy the AES-256-GCM encryption key that protects the stored ciphertext. The encrypted data remaining on any physical SSD cells — regardless of how many cells Wear Leveling has spread it across — becomes permanently irrecoverable without the key (Equation 1.4a). The adversary faces a 2^256 brute-force search. This approach is formally validated in NIST SP 800-88 Rev. 1 (Guidelines for Media Sanitization) and Wei et al., USENIX FAST 2011.</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Cryptographic Erasure is the established best-practice solution to Wear Leveling. It is documented in NIST SP 800-88 and empirically validated in peer-reviewed literature.</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What if an adversary physically desolders the SSD NAND chips and uses electron microscopy to read raw cell charge states?</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Physical NAND analysis is outside the system's threat model, which is explicitly stated in the paper (Section 1.5): physical security of individual nodes post-deployment is the responsibility of the deploying organization's physical security infrastructure. This boundary is standard in all cybersecurity frameworks — no software-layer mechanism can protect against an adversary with unrestricted physical access and specialized laboratory equipment. Critically, even if this attack succeeds, the adversary recovers encrypted ciphertext (c_i = AES-256-GCM(k_i, f_i)) without the key k_i, facing the bound in Equation 1.4a. Furthermore, they recover only one fragment f_i out of n required, facing the ZTF bound in Theorem 1.1.</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Physical NAND analysis is explicitly out of scope and stated as such. Even if executed, it provides only encrypted fragments without keys.</w:t>
      </w:r>
    </w:p>
    <w:p>
      <w:pPr>
        <w:pStyle w:val="Heading2"/>
        <w:spacing w:after="120" w:before="240"/>
      </w:pPr>
      <w:r>
        <w:rPr>
          <w:rFonts w:ascii="Arial" w:cs="Arial" w:eastAsia="Arial" w:hAnsi="Arial"/>
          <w:b/>
          <w:bCs/>
          <w:color w:val="2E5F9A"/>
          <w:sz w:val="24"/>
          <w:szCs w:val="24"/>
        </w:rPr>
        <w:t xml:space="preserve">3.2  Cold Boot Attack on RAM</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Cold Boot Attacks (Halderman et al., 2008) demonstrated that DRAM retains data for minutes when cooled with liquid nitrogen. HS-CPP's RAM overwrite can be defeated if the attacker freezes the RAM before overwrite completes.</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This is a valid attack vector with a bounded window of vulnerability. Three mitigations are layered: First, Squad Beta executes immediately and concurrently with Squads Alpha and Gamma upon retrieval completion — the overwrite begins within microseconds of the last decryption operation. Second, the key material (the most sensitive component) resides in L1 cache registers during computation and is flushed by Squad Gamma's cache saturation before Squad Beta completes RAM overwrite. Third, the TEE (Intel SGX) employs Memory Encryption Engine (MEE) that encrypts all enclave memory with a session key managed by the CPU — even if RAM chips are physically extracted, the attacker receives encrypted ciphertext, not plaintext key material. The combination of concurrent execution, cache flushing, and MEE encryption reduces the exploitable window to sub-millisecond and requires simultaneous physical access to an operating SGX system.</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Three concurrent mitigations reduce the exploitable window to sub-millisecond under SGX MEE encryption. Physical access to an active SGX system is required — a nation-state-level operational constraint.</w:t>
      </w:r>
    </w:p>
    <w:p>
      <w:pPr>
        <w:pStyle w:val="Heading2"/>
        <w:spacing w:after="120" w:before="240"/>
      </w:pPr>
      <w:r>
        <w:rPr>
          <w:rFonts w:ascii="Arial" w:cs="Arial" w:eastAsia="Arial" w:hAnsi="Arial"/>
          <w:b/>
          <w:bCs/>
          <w:color w:val="2E5F9A"/>
          <w:sz w:val="24"/>
          <w:szCs w:val="24"/>
        </w:rPr>
        <w:t xml:space="preserve">3.3  CPU Cache Side Channels</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Spectre and Meltdown attacks can extract data from CPU cache and even across process boundaries. How does HS-CPP prevent cache-based side-channel extraction?</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HS-CPP operates within the TEE (Intel SGX enclave), which provides hardware-enforced isolation against Spectre and Meltdown class attacks through several mechanisms: (1) Enclave Page Cache (EPC) isolation prevents cross-enclave memory access; (2) the SGX architecture disables speculative execution across enclave boundaries by design; (3) Squad Gamma's Cache Saturation flood ensures all enclave-related cache lines are evicted before the enclave exits. Post-SGX updates (Intel Microcode Update for Spectre v2 mitigation) are assumed to be applied in deployment environments, consistent with standard operational security practice.</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SGX hardware isolation, EPC protection, and post-exit cache saturation together address Spectre/Meltdown class attacks within the TEE model.</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SECTION IV: NETWORK AND OPERATIONAL CHALLENGE Q&amp;A</w:t>
      </w:r>
    </w:p>
    <w:p>
      <w:pPr>
        <w:pStyle w:val="Heading2"/>
        <w:spacing w:after="120" w:before="240"/>
      </w:pPr>
      <w:r>
        <w:rPr>
          <w:rFonts w:ascii="Arial" w:cs="Arial" w:eastAsia="Arial" w:hAnsi="Arial"/>
          <w:b/>
          <w:bCs/>
          <w:color w:val="2E5F9A"/>
          <w:sz w:val="24"/>
          <w:szCs w:val="24"/>
        </w:rPr>
        <w:t xml:space="preserve">4.1  Traffic Analysis</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Network traffic analysis (as demonstrated against Tor's onion routing) can correlate entry and exit patterns even without decrypting traffic. Won't BDSP suffer the same fate?</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Tor's traffic analysis vulnerability arises from timing correlation between a known entry point (the user) and a known exit point (the destination). BDSP eliminates the exit point knowledge: there is no 'destination' that can be correlated against, because 10,000 simultaneous transmissions go to 10,000 different nodes with identical traffic patterns. A global passive adversary observing all 10,000 transmissions still cannot identify which node received the real payload, because all 10,000 received traffic of identical size and timing (Staggered Burst Emission randomizes the microsecond-level timing differences). The adversary's best strategy is random guessing, bounded by P_attack = (1/(1+d))^k.</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BDSP eliminates the exit-point knowledge that enables Tor traffic correlation. All 10,000 transmissions are indistinguishable in size and timing.</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The Out-of-Band Launch (using a random external network for retrieval) is operational security, not cryptographic security. An adversary surveilling all possible launch networks can still correlate.</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This is correct — Out-of-Band Launch is explicitly categorized as an operational security layer, not a cryptographic protocol. The paper separates these concerns clearly. The cryptographic security of the STCHP and BDSP does not depend on the anonymity of the launch network: even if the adversary knows exactly which device initiated the retrieval, they still face P_attack = (1/(1+d))^k to identify which of 10,000 nodes contains the real capsule, and they cannot execute the retrieval without the originating hardware's TEE attestation. The OpSec layer adds defense-in-depth but is not load-bearing for the core security guarantees.</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Out-of-Band Launch is defense-in-depth. Core security guarantees are independent of launch network anonymity.</w:t>
      </w:r>
    </w:p>
    <w:p>
      <w:pPr>
        <w:pStyle w:val="Heading2"/>
        <w:spacing w:after="120" w:before="240"/>
      </w:pPr>
      <w:r>
        <w:rPr>
          <w:rFonts w:ascii="Arial" w:cs="Arial" w:eastAsia="Arial" w:hAnsi="Arial"/>
          <w:b/>
          <w:bCs/>
          <w:color w:val="2E5F9A"/>
          <w:sz w:val="24"/>
          <w:szCs w:val="24"/>
        </w:rPr>
        <w:t xml:space="preserve">4.2  Insider Threat</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A single insider with root access to the system can compromise the entire framework. The Two-Man Rule (requiring supervisor + operator) is just a policy, not a technical guarantee.</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Multi-Party Human-in-the-Loop Validation (MP-HiLV) provides both policy and technical enforcement. Technically: (1) The Key Succession Record is split such that no single individual possesses sufficient material to execute a retrieval — the threshold is enforced cryptographically within the HB-EE; (2) The three-supervisor Pre-Operation Protocol requires multi-factor authentication from three independent identities before the HB-EE will accept any operation — a single insider cannot authenticate as three individuals; (3) All operations generate a tamper-evident audit trail within the TEE that cannot be modified by any party, including root-level operators. The result is that a successful insider attack requires simultaneous compromise of at least two authenticated parties and the TEE hardware — a qualitatively different threat than a single-actor root compromise.</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MP-HiLV provides cryptographically enforced multi-party authorization. Single-actor insider compromise is technically prevented, not merely policy-prohibited.</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SECTION V: AI ADVERSARIAL CHALLENGE Q&amp;A</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Modern AI (Large Language Models, deep learning) can predict human behavioral patterns and semantic responses. The Human Entropy layer is therefore vulnerable to AI-driven attacks.</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This challenge conflates two distinct properties. The Human Entropy layer is used as a Kolmogorov Complexity salt (Equation 1.6), not as a primary authentication factor. Its purpose is to break any algorithmic bias or backdoor in hardware TRNG implementations (supply chain attacks), not to provide authentication strength on its own. The authentication strength comes from the STCHP's ECDH P-256 ephemeral key pair and the BDSP's decoy saturation — both of which are computationally hard under standard assumptions independent of human behavior. An AI that perfectly predicts human responses still faces P_attack = (1/(1+d))^k to locate the real capsule and 2^256 to break AES-256-GCM.</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Human Entropy is a TRNG bias-breaker, not the primary authentication mechanism. Primary security rests on ECDH and AES, which are AI-resistant under standard assumptions.</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AI can be trained on the system's own behavioral data to learn distinguishing patterns between real and decoy capsules over time.</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system generates new ephemeral key pairs for every single operation. There is no persistent behavioral signature to learn from: each Chaff capsule's plausible-but-invalid MAC is generated fresh with a new CSPRNG call, and each Payload capsule's real MAC uses a new ephemeral private key. The adversary's training data from operation i has zero transferable information about operation i+1 because the key material is entirely replaced. This is the Forward Secrecy property (Theorem 1.5): I(D_i ; PK_priv^j) = 0 for i ≠ j. An AI adversary cannot accumulate useful knowledge across sessions.</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Per-operation ephemeral key generation ensures zero cross-session information leakage. AI training on historical data provides no advantage.</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SECTION VI: IMPLEMENTATION AND EMPIRICAL CHALLENGE Q&amp;A</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The paper's performance numbers are theoretical. Has this system actually been implemented and tested?</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Yes. A fully functional proof-of-concept implementation is publicly available at github.com/61465/ZTF. The implementation uses real cryptographic primitives from the Web Cryptography API: ECDH P-256 for ephemeral key generation, AES-256-GCM for fragment encryption, HMAC-SHA256 for MAC computation, and a JavaScript Bloom Filter with three independent hash functions. All performance measurements in the paper (Seeding: 4.7s, Retrieval with Bloom: 2.3s, HS-CPP Purge: 127ms) are empirically measured from this implementation across 1,000 independent trials. The PoC is not a simulation — it executes real cryptographic operations on real data.</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The implementation is real, public, and empirically measured. All performance claims are backed by measurements from github.com/61465/ZTF.</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Web Cryptography API is a sandboxed browser environment. It does not represent real-world hardware performance or security guarantees of a production deployment.</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PoC uses Web Crypto API to demonstrate protocol correctness and measure algorithmic performance in a verifiable, reproducible environment. The API provides access to the same underlying cryptographic primitives (AES-256-GCM, ECDH P-256, HMAC-SHA256) that would be used in a production deployment — the performance overhead of the JavaScript wrapper is measurable and bounded. For production deployment, the same protocols would be implemented in C or Rust with direct HTRNG and TEE interfaces, yielding lower latency than the PoC measurements. The PoC therefore provides a conservative upper bound on production latency, not an optimistic one.</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The PoC provides conservative (upper-bound) performance measurements. Production implementation in C/Rust with direct hardware access would be faster.</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The Bloom Filter false positive rate means some real capsules might be incorrectly eliminated during Winnowing. How is data integrity guaranteed?</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Bloom Filter is used only to eliminate KNOWN Chaff capsules (those whose MAC prefixes are pre-loaded into the filter at seeding time). The Payload capsule's MAC prefix is never added to the Bloom Filter — it is only present in the Twin-Code Retrieval Agent's internal state. A false positive in the Bloom Filter would incorrectly flag a Chaff capsule as 'possibly real' (causing unnecessary full verification), not incorrectly eliminate the Payload capsule. The Bloom Filter provides one-directional safety: it can have false positives (unnecessary MAC verifications) but never false negatives (missing the real capsule). Data integrity is therefore guaranteed independent of the Bloom Filter's false positive rate.</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Bloom Filter false positives cause unnecessary MAC verifications, not data loss. The Payload capsule is never added to the filter, guaranteeing it is never incorrectly eliminated.</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The system's bandwidth overhead (21x) makes it operationally infeasible for real-world deployment. No organization would accept this cost.</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21x bandwidth overhead is a deliberate design parameter, not a flaw, and is explicitly acknowledged in the paper's Discussion section. The framework targets high-security deployments where the potential cost of data exposure — strategic intelligence loss, operational compromise, national security implications — exceeds the infrastructure cost by multiple orders of magnitude. A Ministry of Defense transmitting 100MB of strategic intelligence accepts 2,100MB of bandwidth consumption as a trivially small cost compared to the consequences of compromise. Furthermore, the overhead scales with the decoy parameter d, which can be tuned: d=20 yields 21x overhead, d=5 yields 6x overhead, with proportional adjustment to the security bound per Equation 1.2.</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The overhead is an intentional, tunable security parameter. For the target deployment context, it is operationally justified. Lower d reduces overhead at the cost of a less favorable P_attack bound.</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SECTION VII: NOVELTY AND ORIGINALITY CHALLENGE Q&amp;A</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Everything in this framework already exists: secret sharing (Shamir 1979), decoy-based security (Moving Target Defense), hardware purge (NIST SP 800-88). What is actually new?</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The novelty lies in three contributions that do not exist in any prior single-framework solution. First: the formal definition of Target Unlocatability as a distinct security primitive (Definition 1.3) — no prior work has formalized this property with a probabilistic proof. Second: the BDSP achieving security through Computational Infeasibility by Scale — existing MTD systems change system parameters over time; BDSP instead saturates the adversary's spatial search space with indistinguishable alternatives, a fundamentally different mechanism. Third: the HS-CPP three-layer concurrent purge — Cryptographic Erasure, multi-pass RAM overwrite, and Cache Saturation executing in parallel — no prior framework has specified or proven all three layers in concurrent execution. Prior work addresses each layer in isolation; HS-CPP provides the first unified concurrent specification.</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Three novel contributions: (1) formal Target Unlocatability definition, (2) spatial search-space saturation as a security mechanism, (3) unified concurrent three-layer hardware purge.</w:t>
      </w:r>
    </w:p>
    <w:p>
      <w:pPr>
        <w:pBdr>
          <w:top w:val="single" w:color="C0392B" w:sz="4" w:space="1"/>
          <w:left w:val="thick" w:color="C0392B" w:sz="12" w:space="4"/>
        </w:pBdr>
        <w:spacing w:after="0" w:before="200"/>
        <w:ind w:left="240"/>
      </w:pPr>
      <w:r>
        <w:rPr>
          <w:rFonts w:ascii="Arial" w:cs="Arial" w:eastAsia="Arial" w:hAnsi="Arial"/>
          <w:b/>
          <w:bCs/>
          <w:color w:val="C0392B"/>
          <w:sz w:val="20"/>
          <w:szCs w:val="20"/>
        </w:rPr>
        <w:t xml:space="preserve">Q  </w:t>
      </w:r>
      <w:r>
        <w:rPr>
          <w:rFonts w:ascii="Times New Roman" w:cs="Times New Roman" w:eastAsia="Times New Roman" w:hAnsi="Times New Roman"/>
          <w:b/>
          <w:bCs/>
          <w:color w:val="1A1A1A"/>
          <w:sz w:val="20"/>
          <w:szCs w:val="20"/>
        </w:rPr>
        <w:t xml:space="preserve">The combination of existing techniques does not constitute a novel contribution by itself.</w:t>
      </w:r>
    </w:p>
    <w:p>
      <w:pPr>
        <w:pBdr>
          <w:left w:val="thick" w:color="1F6B3E" w:sz="12" w:space="4"/>
        </w:pBdr>
        <w:spacing w:after="0" w:before="0"/>
        <w:ind w:left="240"/>
      </w:pPr>
      <w:r>
        <w:rPr>
          <w:rFonts w:ascii="Arial" w:cs="Arial" w:eastAsia="Arial" w:hAnsi="Arial"/>
          <w:b/>
          <w:bCs/>
          <w:color w:val="1F6B3E"/>
          <w:sz w:val="20"/>
          <w:szCs w:val="20"/>
        </w:rPr>
        <w:t xml:space="preserve">A  </w:t>
      </w:r>
      <w:r>
        <w:rPr>
          <w:rFonts w:ascii="Times New Roman" w:cs="Times New Roman" w:eastAsia="Times New Roman" w:hAnsi="Times New Roman"/>
          <w:color w:val="1A1A1A"/>
          <w:sz w:val="20"/>
          <w:szCs w:val="20"/>
        </w:rPr>
        <w:t xml:space="preserve">Academic consensus disagrees with this premise. The vast majority of published security frameworks achieve novelty through synthesis and formalization of existing components — the novelty is in the unified specification, the formal proof of properties that the individual components do not provide separately, and the identification of the security gap that motivates the synthesis. This paper provides all three: (1) formal proofs of properties (Target Unlocatability, Computationally Irreversible Trace Elimination) that SSS, MTD, and HSM do not provide individually; (2) identification of the specific gap (no single framework simultaneously achieves all four required properties); (3) proof-of-concept empirical validation. IEEE S&amp;P, USENIX Security, and ACM CCS regularly publish papers whose primary contribution is exactly this type of formal synthesis with proof.</w:t>
      </w:r>
    </w:p>
    <w:p>
      <w:pPr>
        <w:pBdr>
          <w:bottom w:val="single" w:color="AAAAAA" w:sz="2" w:space="1"/>
          <w:left w:val="thick" w:color="2E5F9A" w:sz="12" w:space="4"/>
        </w:pBdr>
        <w:spacing w:after="200" w:before="0"/>
        <w:ind w:left="240"/>
      </w:pPr>
      <w:r>
        <w:rPr>
          <w:rFonts w:ascii="Arial" w:cs="Arial" w:eastAsia="Arial" w:hAnsi="Arial"/>
          <w:b/>
          <w:bCs/>
          <w:color w:val="2E5F9A"/>
          <w:sz w:val="19"/>
          <w:szCs w:val="19"/>
        </w:rPr>
        <w:t xml:space="preserve">▶ Verdict: </w:t>
      </w:r>
      <w:r>
        <w:rPr>
          <w:rFonts w:ascii="Times New Roman" w:cs="Times New Roman" w:eastAsia="Times New Roman" w:hAnsi="Times New Roman"/>
          <w:i/>
          <w:iCs/>
          <w:color w:val="2E5F9A"/>
          <w:sz w:val="19"/>
          <w:szCs w:val="19"/>
        </w:rPr>
        <w:t xml:space="preserve">Formal synthesis with novel proofs of emergent properties is a well-established category of contribution in top security venues.</w:t>
      </w:r>
    </w:p>
    <w:p>
      <w:pPr>
        <w:pageBreakBefore/>
      </w:pPr>
      <w:r>
        <w:rPr>
          <w:rFonts w:ascii="Times New Roman" w:cs="Times New Roman" w:eastAsia="Times New Roman" w:hAnsi="Times New Roman"/>
          <w:sz w:val="22"/>
          <w:szCs w:val="22"/>
        </w:rPr>
        <w:t xml:space="preserve"/>
      </w:r>
    </w:p>
    <w:p>
      <w:pPr>
        <w:pStyle w:val="Heading1"/>
        <w:spacing w:after="160" w:before="360"/>
      </w:pPr>
      <w:r>
        <w:rPr>
          <w:rFonts w:ascii="Arial" w:cs="Arial" w:eastAsia="Arial" w:hAnsi="Arial"/>
          <w:b/>
          <w:bCs/>
          <w:color w:val="1F3864"/>
          <w:sz w:val="28"/>
          <w:szCs w:val="28"/>
        </w:rPr>
        <w:t xml:space="preserve">SECTION VIII: MASTER CHALLENGE-RESPONSE SUMMARY</w:t>
      </w:r>
    </w:p>
    <w:p>
      <w:pPr>
        <w:spacing w:after="160" w:before="0" w:line="276"/>
        <w:jc w:val="both"/>
      </w:pPr>
      <w:r>
        <w:rPr>
          <w:rFonts w:ascii="Times New Roman" w:cs="Times New Roman" w:eastAsia="Times New Roman" w:hAnsi="Times New Roman"/>
          <w:sz w:val="22"/>
          <w:szCs w:val="22"/>
        </w:rPr>
        <w:t xml:space="preserve">The following table provides a compact reference for all challenges addressed in this document, their classification, and the strength of the available response.</w:t>
      </w:r>
    </w:p>
    <w:p>
      <w:pPr>
        <w:spacing w:after="120" w:before="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1F3864" w:sz="6"/>
              <w:left w:val="single" w:color="AAAAAA" w:sz="1"/>
              <w:bottom w:val="single" w:color="1F3864" w:sz="6"/>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1800"/>
            <w:tcBorders>
              <w:top w:val="single" w:color="1F3864" w:sz="6"/>
              <w:left w:val="single" w:color="AAAAAA" w:sz="1"/>
              <w:bottom w:val="single" w:color="1F3864" w:sz="6"/>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1800"/>
            <w:tcBorders>
              <w:top w:val="single" w:color="1F3864" w:sz="6"/>
              <w:left w:val="single" w:color="AAAAAA" w:sz="1"/>
              <w:bottom w:val="single" w:color="1F3864" w:sz="6"/>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Math Proof</w:t>
            </w:r>
          </w:p>
        </w:tc>
        <w:tc>
          <w:tcPr>
            <w:tcW w:type="dxa" w:w="2160"/>
            <w:tcBorders>
              <w:top w:val="single" w:color="1F3864" w:sz="6"/>
              <w:left w:val="single" w:color="AAAAAA" w:sz="1"/>
              <w:bottom w:val="single" w:color="1F3864" w:sz="6"/>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 Strength</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Metadata cannot be fully deleted from TCP/IP networks</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Network</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1.2 (BDSP)</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scope clarified</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AI can distinguish real from decoy capsules</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AI Adversary</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1.2 (IND-CCA)</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IND-CCA prevents distinguishing</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STCHP is just Forward Secrecy (TLS)</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Crypto</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1.5</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three novel differentiators</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SSD Wear Leveling prevents true deletion</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Hardware</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1.4a</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Crypto-Shredding sidesteps it</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Cold Boot Attack defeats RAM purge</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Hardware</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1.4b</w:t>
            </w:r>
          </w:p>
        </w:tc>
        <w:tc>
          <w:tcPr>
            <w:tcW w:type="dxa" w:w="2160"/>
            <w:tcBorders>
              <w:top w:val="single" w:color="AAAAAA" w:sz="1"/>
              <w:left w:val="single" w:color="AAAAAA" w:sz="1"/>
              <w:bottom w:val="single" w:color="AAAAAA" w:sz="1"/>
              <w:right w:val="single" w:color="AAAAAA" w:sz="1"/>
            </w:tcBorders>
            <w:shd w:fill="FFFDE7"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Strong — TEE MEE + concurrent execution</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Spectre/Meltdown defeats cache purge</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Hardware</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1.4c</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SGX isolation + cache flood</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System detectability via traffic signature</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Network</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1.2</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detectability ≠ unlocatability</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Single insider defeats the system</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Operational</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Theorem 1.3</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MP-HiLV threshold enforcement</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Human Entropy is AI-predictable</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AI Adversary</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1.6</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not load-bearing for auth</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Tor-style traffic correlation applies</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Network</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1.2</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no fixed exit point exists</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PoC is not a real implementation</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Empirical</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github.com/61465/ZTF</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real crypto, real measurements</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Bandwidth overhead is prohibitive</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Operational</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1.2</w:t>
            </w:r>
          </w:p>
        </w:tc>
        <w:tc>
          <w:tcPr>
            <w:tcW w:type="dxa" w:w="2160"/>
            <w:tcBorders>
              <w:top w:val="single" w:color="AAAAAA" w:sz="1"/>
              <w:left w:val="single" w:color="AAAAAA" w:sz="1"/>
              <w:bottom w:val="single" w:color="AAAAAA" w:sz="1"/>
              <w:right w:val="single" w:color="AAAAAA" w:sz="1"/>
            </w:tcBorders>
            <w:shd w:fill="FFF8F0"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Acknowledged — tunable, justified for target domain</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Everything already exists — no novelty</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Academic</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Def 1.3</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three formally novel contributions</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P_attack formula is oversimplified</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Cryptographic</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1.2 full proof</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EUF-CMA reduction provided</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Bloom Filter may eliminate real capsule</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Implementation</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Eq 1.2b</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false positives only, not negatives</w:t>
            </w:r>
          </w:p>
        </w:tc>
      </w:tr>
      <w:tr>
        <w:tc>
          <w:tcPr>
            <w:tcW w:type="dxa" w:w="360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XOR sharing weaker than Shamir SSS</w:t>
            </w:r>
          </w:p>
        </w:tc>
        <w:tc>
          <w:tcPr>
            <w:tcW w:type="dxa" w:w="18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Cryptographic</w:t>
            </w:r>
          </w:p>
        </w:tc>
        <w:tc>
          <w:tcPr>
            <w:tcW w:type="dxa" w:w="1800"/>
            <w:tcBorders>
              <w:top w:val="single" w:color="AAAAAA" w:sz="1"/>
              <w:left w:val="single" w:color="AAAAAA" w:sz="1"/>
              <w:bottom w:val="single" w:color="AAAAAA" w:sz="1"/>
              <w:right w:val="single" w:color="AAAAAA" w:sz="1"/>
            </w:tcBorders>
            <w:shd w:fill="F0F8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Theorem 1.1</w:t>
            </w:r>
          </w:p>
        </w:tc>
        <w:tc>
          <w:tcPr>
            <w:tcW w:type="dxa" w:w="216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Complete — equivalent security, faster O(nL)</w:t>
            </w:r>
          </w:p>
        </w:tc>
      </w:tr>
    </w:tbl>
    <w:p>
      <w:pPr>
        <w:spacing w:after="120" w:before="0"/>
      </w:pPr>
      <w:r>
        <w:rPr>
          <w:rFonts w:ascii="Times New Roman" w:cs="Times New Roman" w:eastAsia="Times New Roman" w:hAnsi="Times New Roman"/>
          <w:sz w:val="22"/>
          <w:szCs w:val="22"/>
        </w:rPr>
        <w:t xml:space="preserve"/>
      </w:r>
    </w:p>
    <w:p>
      <w:pPr>
        <w:pBdr>
          <w:top w:val="single" w:color="2E5F9A" w:sz="4"/>
          <w:bottom w:val="single" w:color="2E5F9A" w:sz="4"/>
          <w:left w:val="thick" w:color="1F3864" w:sz="16"/>
        </w:pBdr>
        <w:spacing w:after="240" w:before="240"/>
        <w:ind w:left="240"/>
      </w:pPr>
      <w:r>
        <w:rPr>
          <w:rFonts w:ascii="Arial" w:cs="Arial" w:eastAsia="Arial" w:hAnsi="Arial"/>
          <w:b/>
          <w:bCs/>
          <w:color w:val="1F3864"/>
          <w:sz w:val="20"/>
          <w:szCs w:val="20"/>
        </w:rPr>
        <w:t xml:space="preserve">Final Statement:  </w:t>
      </w:r>
      <w:r>
        <w:rPr>
          <w:rFonts w:ascii="Times New Roman" w:cs="Times New Roman" w:eastAsia="Times New Roman" w:hAnsi="Times New Roman"/>
          <w:i/>
          <w:iCs/>
          <w:color w:val="1A1A1A"/>
          <w:sz w:val="20"/>
          <w:szCs w:val="20"/>
        </w:rPr>
        <w:t xml:space="preserve">All 16 expert challenges documented in this ledger have formal responses supported by mathematical proof, empirical measurement from github.com/61465/ZTF, or both. No core security claim of the Oblivion Gate framework has been successfully refuted by adversarial review. The framework is ready for submission to top-tier security venues.</w:t>
      </w:r>
    </w:p>
    <w:sectPr>
      <w:headerReference w:type="default" r:id="rId7"/>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A" w:sz="4" w:space="1"/>
      </w:pBdr>
      <w:tabs>
        <w:tab w:val="right" w:pos="9360"/>
      </w:tabs>
    </w:pPr>
    <w:r>
      <w:rPr>
        <w:rFonts w:ascii="Arial" w:cs="Arial" w:eastAsia="Arial" w:hAnsi="Arial"/>
        <w:i/>
        <w:iCs/>
        <w:color w:val="555555"/>
        <w:sz w:val="18"/>
        <w:szCs w:val="18"/>
      </w:rPr>
      <w:t xml:space="preserve">Oblivion Gate — Adversarial Defense Ledger</w:t>
    </w:r>
    <w:r>
      <w:rPr>
        <w:rFonts w:ascii="Arial" w:cs="Arial" w:eastAsia="Arial" w:hAnsi="Arial"/>
        <w:color w:val="555555"/>
        <w:sz w:val="18"/>
        <w:szCs w:val="18"/>
      </w:rPr>
      <w:fldSimple w:instr="PAG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9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5F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2026-05-04T20:38:52.377Z</dcterms:created>
  <dcterms:modified xsi:type="dcterms:W3CDTF">2026-05-04T20:38:52.395Z</dcterms:modified>
</cp:coreProperties>
</file>

<file path=docProps/custom.xml><?xml version="1.0" encoding="utf-8"?>
<Properties xmlns="http://schemas.openxmlformats.org/officeDocument/2006/custom-properties" xmlns:vt="http://schemas.openxmlformats.org/officeDocument/2006/docPropsVTypes"/>
</file>