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D4DB" w14:textId="4D7E93F5" w:rsidR="009D008C" w:rsidRPr="00BB2234" w:rsidRDefault="009D008C" w:rsidP="00F471DE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What is Kaplan Meier curve?</w:t>
      </w:r>
    </w:p>
    <w:p w14:paraId="0BFEFFF0" w14:textId="18BF3FFB" w:rsidR="009D008C" w:rsidRPr="00BB2234" w:rsidRDefault="009D008C" w:rsidP="009D00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Graph plot of the survival probability </w:t>
      </w:r>
      <w:r w:rsidR="00D92F39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against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time-to-events, showing the probability of a subject will survive up to time</w:t>
      </w:r>
    </w:p>
    <w:p w14:paraId="321C180E" w14:textId="5950FF7E" w:rsidR="009D008C" w:rsidRPr="00BB2234" w:rsidRDefault="009D008C" w:rsidP="009D00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Non-parametric estimate which does not make assumption about the distribution of data</w:t>
      </w:r>
    </w:p>
    <w:p w14:paraId="13666030" w14:textId="434AF9F6" w:rsidR="009D008C" w:rsidRPr="00BB2234" w:rsidRDefault="009D008C" w:rsidP="009D00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Estimate from data that could be censored, </w:t>
      </w:r>
      <w:r w:rsidR="001B504B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 not experience the events</w:t>
      </w:r>
    </w:p>
    <w:p w14:paraId="73665B54" w14:textId="77777777" w:rsidR="00D92F39" w:rsidRPr="00BB2234" w:rsidRDefault="00D92F39" w:rsidP="00F471DE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38A86DF" w14:textId="44E646CC" w:rsidR="009D008C" w:rsidRPr="00BB2234" w:rsidRDefault="00D92F39" w:rsidP="00F471DE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Censored data (the data is incomplete without end time</w:t>
      </w:r>
      <w:r w:rsidR="00044DCC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for events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67C2FBE6" w14:textId="72CB9360" w:rsidR="00D92F39" w:rsidRPr="00BB2234" w:rsidRDefault="00D92F39" w:rsidP="00D92F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Not experience</w:t>
      </w:r>
      <w:r w:rsidR="00BE014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 event before </w:t>
      </w:r>
      <w:r w:rsidR="00BE014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the 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 of Kaplan Meier analysis</w:t>
      </w:r>
    </w:p>
    <w:p w14:paraId="50161D2D" w14:textId="2CD88632" w:rsidR="00591184" w:rsidRPr="00BB2234" w:rsidRDefault="00D92F39" w:rsidP="00D92F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Follow up is missing or </w:t>
      </w:r>
      <w:r w:rsidR="00BE014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withdrawn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from the analysis</w:t>
      </w:r>
    </w:p>
    <w:p w14:paraId="64A02AB4" w14:textId="1904DD86" w:rsidR="00D92F39" w:rsidRPr="00BB2234" w:rsidRDefault="001B504B" w:rsidP="00D92F3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 do not include the censored data,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the 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sample size of the study may become small</w:t>
      </w:r>
    </w:p>
    <w:p w14:paraId="7643AA8F" w14:textId="77777777" w:rsidR="001B504B" w:rsidRPr="00BB2234" w:rsidRDefault="001B504B" w:rsidP="00D92F3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82BB1C9" w14:textId="77777777" w:rsidR="00D92F39" w:rsidRPr="00BB2234" w:rsidRDefault="00D92F39" w:rsidP="00D92F3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E55C583" w14:textId="0C029041" w:rsidR="00363C11" w:rsidRPr="00BB2234" w:rsidRDefault="001A66D5" w:rsidP="00F471DE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For Kaplan Meier </w:t>
      </w:r>
      <w:r w:rsidR="009C01BD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curve</w:t>
      </w:r>
    </w:p>
    <w:p w14:paraId="529461CB" w14:textId="77777777" w:rsidR="00D92F39" w:rsidRPr="00BB2234" w:rsidRDefault="00D92F39" w:rsidP="00D92F39">
      <w:pPr>
        <w:rPr>
          <w:rFonts w:ascii="Times New Roman" w:hAnsi="Times New Roman" w:cs="Times New Roman"/>
          <w:color w:val="000000" w:themeColor="text1"/>
          <w:kern w:val="24"/>
          <w:sz w:val="20"/>
          <w:szCs w:val="20"/>
          <w:lang w:val="en-SG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 specific question:</w:t>
      </w:r>
      <w:r w:rsidRPr="00BB2234">
        <w:rPr>
          <w:rFonts w:ascii="Times New Roman" w:hAnsi="Times New Roman" w:cs="Times New Roman"/>
          <w:color w:val="000000" w:themeColor="text1"/>
          <w:kern w:val="24"/>
          <w:sz w:val="20"/>
          <w:szCs w:val="20"/>
          <w:lang w:val="en-SG"/>
        </w:rPr>
        <w:t xml:space="preserve"> </w:t>
      </w:r>
    </w:p>
    <w:p w14:paraId="6F48AD09" w14:textId="1CF33660" w:rsidR="00D92F39" w:rsidRPr="00BB2234" w:rsidRDefault="00D92F39" w:rsidP="00D92F39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SG"/>
        </w:rPr>
        <w:t>What is the difference in survival of </w:t>
      </w:r>
      <w:r w:rsidRPr="00BB223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Malignant neoplasm of breast (disorder)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 treated with </w:t>
      </w:r>
      <w:r w:rsidRPr="00BB223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Paclitaxel 100 MG Injection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 compared to </w:t>
      </w:r>
      <w:r w:rsidRPr="00BB223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100 ML </w:t>
      </w:r>
      <w:proofErr w:type="spellStart"/>
      <w:r w:rsidRPr="00BB223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Epirubicin</w:t>
      </w:r>
      <w:proofErr w:type="spellEnd"/>
      <w:r w:rsidRPr="00BB223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 Hydrochloride 2 MG/ML Injection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?</w:t>
      </w:r>
    </w:p>
    <w:p w14:paraId="3979AF42" w14:textId="0C453B2A" w:rsidR="001B504B" w:rsidRPr="00BB2234" w:rsidRDefault="001B504B" w:rsidP="00D92F39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6FB78F9" w14:textId="31430350" w:rsidR="001B504B" w:rsidRPr="00BB2234" w:rsidRDefault="001B504B" w:rsidP="00D92F39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Here the </w:t>
      </w:r>
      <w:r w:rsidR="00660826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event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in interest is the</w:t>
      </w:r>
      <w:r w:rsidR="00660826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death of the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patient, we assume the death</w:t>
      </w:r>
      <w:r w:rsidR="00660826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is caused by the cancer.</w:t>
      </w:r>
    </w:p>
    <w:p w14:paraId="5964CA27" w14:textId="52231446" w:rsidR="00D92F39" w:rsidRPr="00BB2234" w:rsidRDefault="00D92F39" w:rsidP="00F471D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76D800" w14:textId="3F069FF4" w:rsidR="001A66D5" w:rsidRPr="00BB2234" w:rsidRDefault="001A66D5" w:rsidP="001A66D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Get the time range for the Kaplan Meier </w:t>
      </w:r>
      <w:r w:rsidR="00660826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analysis. (</w:t>
      </w:r>
      <w:r w:rsidR="00044DCC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Here</w:t>
      </w:r>
      <w:r w:rsidR="001B504B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let start time be the earliest time for a patient got treatment and end time as the time the data extracted</w:t>
      </w:r>
      <w:r w:rsidR="00D92F39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034978E1" w14:textId="20679B2C" w:rsidR="001A66D5" w:rsidRPr="00BB2234" w:rsidRDefault="001A66D5" w:rsidP="001A66D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Clinical outcome (alive or death) is used to get status</w:t>
      </w:r>
      <w:r w:rsidR="00044DCC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if death then status as 1 otherwise status as 0</w:t>
      </w:r>
      <w:r w:rsidR="00485D47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34AF1366" w14:textId="714D36EF" w:rsidR="001A66D5" w:rsidRPr="00BB2234" w:rsidRDefault="001A66D5" w:rsidP="001A66D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Get start time </w:t>
      </w:r>
      <w:r w:rsidR="00044DCC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the patient got treatment here is the earliest time the patient got specified </w:t>
      </w:r>
      <w:proofErr w:type="gramStart"/>
      <w:r w:rsidR="00044DCC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medication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data must have start time)</w:t>
      </w:r>
    </w:p>
    <w:p w14:paraId="57D9E01C" w14:textId="5D05DDD2" w:rsidR="001A66D5" w:rsidRPr="00BB2234" w:rsidRDefault="001A66D5" w:rsidP="001A66D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 end time from patient table (DEATHDATE)</w:t>
      </w:r>
      <w:r w:rsidR="00044DCC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if alive then the end time is the end time of the Kaplan Meier analysis,</w:t>
      </w:r>
    </w:p>
    <w:p w14:paraId="212CF25A" w14:textId="1EB52FDA" w:rsidR="001A66D5" w:rsidRPr="00BB2234" w:rsidRDefault="001A66D5" w:rsidP="001A6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Then compute duration and get the data with columns: duration, status, other </w:t>
      </w:r>
      <w:r w:rsidR="00B9589B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group 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variable</w:t>
      </w:r>
      <w:r w:rsidR="00B9589B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to do plot.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0"/>
        <w:gridCol w:w="3005"/>
        <w:gridCol w:w="2555"/>
      </w:tblGrid>
      <w:tr w:rsidR="009B5366" w:rsidRPr="00BB2234" w14:paraId="6DACB56E" w14:textId="287C7B45" w:rsidTr="001A66D5">
        <w:tc>
          <w:tcPr>
            <w:tcW w:w="3070" w:type="dxa"/>
          </w:tcPr>
          <w:p w14:paraId="33CDD023" w14:textId="5ED22B8A" w:rsidR="001A66D5" w:rsidRPr="00BB2234" w:rsidRDefault="001A66D5" w:rsidP="001A66D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Duration/Time</w:t>
            </w:r>
          </w:p>
        </w:tc>
        <w:tc>
          <w:tcPr>
            <w:tcW w:w="3005" w:type="dxa"/>
          </w:tcPr>
          <w:p w14:paraId="79B69CDD" w14:textId="5AE0401C" w:rsidR="001A66D5" w:rsidRPr="00BB2234" w:rsidRDefault="001A66D5" w:rsidP="001A66D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Status/events</w:t>
            </w:r>
          </w:p>
        </w:tc>
        <w:tc>
          <w:tcPr>
            <w:tcW w:w="2555" w:type="dxa"/>
          </w:tcPr>
          <w:p w14:paraId="4A91C322" w14:textId="585EC86B" w:rsidR="001A66D5" w:rsidRPr="00BB2234" w:rsidRDefault="00B9589B" w:rsidP="001A66D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group</w:t>
            </w:r>
          </w:p>
        </w:tc>
      </w:tr>
      <w:tr w:rsidR="001A66D5" w:rsidRPr="00BB2234" w14:paraId="779182B7" w14:textId="54F7CA9D" w:rsidTr="001A66D5">
        <w:tc>
          <w:tcPr>
            <w:tcW w:w="3070" w:type="dxa"/>
          </w:tcPr>
          <w:p w14:paraId="15B93393" w14:textId="77777777" w:rsidR="001A66D5" w:rsidRPr="00BB2234" w:rsidRDefault="001A66D5" w:rsidP="001A66D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005" w:type="dxa"/>
          </w:tcPr>
          <w:p w14:paraId="7CFC568E" w14:textId="77777777" w:rsidR="001A66D5" w:rsidRPr="00BB2234" w:rsidRDefault="001A66D5" w:rsidP="001A66D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</w:tcPr>
          <w:p w14:paraId="4124CC04" w14:textId="77777777" w:rsidR="001A66D5" w:rsidRPr="00BB2234" w:rsidRDefault="001A66D5" w:rsidP="001A66D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78B30112" w14:textId="0DC58540" w:rsidR="001A66D5" w:rsidRPr="00BB2234" w:rsidRDefault="001A66D5" w:rsidP="001A66D5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5444F88" w14:textId="67577967" w:rsidR="00591184" w:rsidRPr="00BB2234" w:rsidRDefault="00591184" w:rsidP="005911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And then for each time point</w:t>
      </w:r>
      <w:r w:rsidR="009C01BD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for a specific group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we count the number of 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events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censored whose status value is 0; and the number of 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events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occurred which are events with status 1(patient died); The number of events at risk is equal to the number of events at </w:t>
      </w:r>
      <w:r w:rsidR="009C01BD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risk at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last time point minus the number of 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events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9C01BD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censored minus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and the number of 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events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occurred </w:t>
      </w:r>
    </w:p>
    <w:tbl>
      <w:tblPr>
        <w:tblStyle w:val="TableGrid"/>
        <w:tblW w:w="9163" w:type="dxa"/>
        <w:tblInd w:w="720" w:type="dxa"/>
        <w:tblLook w:val="04A0" w:firstRow="1" w:lastRow="0" w:firstColumn="1" w:lastColumn="0" w:noHBand="0" w:noVBand="1"/>
      </w:tblPr>
      <w:tblGrid>
        <w:gridCol w:w="1285"/>
        <w:gridCol w:w="1690"/>
        <w:gridCol w:w="2112"/>
        <w:gridCol w:w="2260"/>
        <w:gridCol w:w="1816"/>
      </w:tblGrid>
      <w:tr w:rsidR="009B5366" w:rsidRPr="00BB2234" w14:paraId="1814C015" w14:textId="13BF782C" w:rsidTr="00591184">
        <w:trPr>
          <w:trHeight w:val="606"/>
        </w:trPr>
        <w:tc>
          <w:tcPr>
            <w:tcW w:w="1285" w:type="dxa"/>
          </w:tcPr>
          <w:p w14:paraId="08EC8171" w14:textId="6894E9D2" w:rsidR="00591184" w:rsidRPr="00BB2234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Time</w:t>
            </w:r>
            <w:r w:rsidR="009C01BD"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(t)</w:t>
            </w:r>
          </w:p>
        </w:tc>
        <w:tc>
          <w:tcPr>
            <w:tcW w:w="1690" w:type="dxa"/>
          </w:tcPr>
          <w:p w14:paraId="742E7077" w14:textId="60331ABF" w:rsidR="00591184" w:rsidRPr="00BB2234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Number of event </w:t>
            </w:r>
            <w:proofErr w:type="gramStart"/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censored(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oMath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2112" w:type="dxa"/>
          </w:tcPr>
          <w:p w14:paraId="349D7816" w14:textId="43D3673D" w:rsidR="00591184" w:rsidRPr="00BB2234" w:rsidRDefault="00591184" w:rsidP="0059118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</w:t>
            </w: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mber of event occur</w:t>
            </w: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</w:t>
            </w: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ed(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oMath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60" w:type="dxa"/>
          </w:tcPr>
          <w:p w14:paraId="49E2714F" w14:textId="202C7584" w:rsidR="00591184" w:rsidRPr="00BB2234" w:rsidRDefault="00591184" w:rsidP="0059118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</w:t>
            </w: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umber of event at </w:t>
            </w:r>
            <w:proofErr w:type="gramStart"/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risk(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oMath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816" w:type="dxa"/>
          </w:tcPr>
          <w:p w14:paraId="1D0DAB6C" w14:textId="01012F74" w:rsidR="00591184" w:rsidRPr="00BB2234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Survival probability(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oMath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)</w:t>
            </w:r>
          </w:p>
        </w:tc>
      </w:tr>
      <w:tr w:rsidR="00591184" w:rsidRPr="00BB2234" w14:paraId="05A01989" w14:textId="33A2F25E" w:rsidTr="00591184">
        <w:trPr>
          <w:trHeight w:val="201"/>
        </w:trPr>
        <w:tc>
          <w:tcPr>
            <w:tcW w:w="1285" w:type="dxa"/>
          </w:tcPr>
          <w:p w14:paraId="6F19A22B" w14:textId="77777777" w:rsidR="00591184" w:rsidRPr="00BB2234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90" w:type="dxa"/>
          </w:tcPr>
          <w:p w14:paraId="456F42D5" w14:textId="77777777" w:rsidR="00591184" w:rsidRPr="00BB2234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12" w:type="dxa"/>
          </w:tcPr>
          <w:p w14:paraId="5863BEEB" w14:textId="77777777" w:rsidR="00591184" w:rsidRPr="00BB2234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</w:tcPr>
          <w:p w14:paraId="1C0C8D55" w14:textId="77777777" w:rsidR="00591184" w:rsidRPr="00BB2234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16" w:type="dxa"/>
          </w:tcPr>
          <w:p w14:paraId="3982DC6C" w14:textId="77777777" w:rsidR="00591184" w:rsidRPr="00BB2234" w:rsidRDefault="0059118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1F806EC5" w14:textId="0684EC3C" w:rsidR="00591184" w:rsidRPr="00BB2234" w:rsidRDefault="00591184" w:rsidP="0059118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677A76" w14:textId="77777777" w:rsidR="00591184" w:rsidRPr="00BB2234" w:rsidRDefault="00591184" w:rsidP="0059118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EA493D" w14:textId="24D68A3F" w:rsidR="00591184" w:rsidRPr="00BB2234" w:rsidRDefault="009C01BD" w:rsidP="009C01BD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According to</w:t>
      </w:r>
      <w:r w:rsidR="00591184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the 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formula to calculate the survival probability</w:t>
      </w:r>
    </w:p>
    <w:p w14:paraId="64905537" w14:textId="35DC9792" w:rsidR="009C01BD" w:rsidRPr="00BB2234" w:rsidRDefault="00000000" w:rsidP="009C01BD">
      <w:pPr>
        <w:ind w:left="720"/>
        <w:jc w:val="center"/>
        <w:rPr>
          <w:rFonts w:ascii="Times New Roman" w:hAnsi="Times New Roman" w:cs="Times New Roman"/>
          <w:iCs/>
          <w:color w:val="000000" w:themeColor="text1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sub>
        </m:sSub>
      </m:oMath>
      <w:r w:rsidR="009C01BD" w:rsidRPr="00BB22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t-1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 *(1-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)</m:t>
        </m:r>
      </m:oMath>
      <w:r w:rsidR="009C01BD" w:rsidRPr="00BB2234">
        <w:rPr>
          <w:rFonts w:ascii="Times New Roman" w:hAnsi="Times New Roman" w:cs="Times New Roman"/>
          <w:iCs/>
          <w:color w:val="000000" w:themeColor="text1"/>
          <w:sz w:val="20"/>
          <w:szCs w:val="20"/>
          <w:lang w:val="en-US"/>
        </w:rPr>
        <w:t xml:space="preserve">  w</w:t>
      </w:r>
      <w:r w:rsidR="009C01BD" w:rsidRPr="00BB2234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here,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sub>
        </m:sSub>
      </m:oMath>
      <w:r w:rsidR="009C01BD" w:rsidRPr="00BB2234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t-1</m:t>
            </m:r>
          </m:sub>
        </m:sSub>
      </m:oMath>
      <w:r w:rsidR="009C01BD" w:rsidRPr="00BB2234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sub>
        </m:sSub>
      </m:oMath>
      <w:r w:rsidR="009C01BD" w:rsidRPr="00BB2234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sub>
        </m:sSub>
      </m:oMath>
    </w:p>
    <w:p w14:paraId="6AAF9953" w14:textId="6D99E475" w:rsidR="009C01BD" w:rsidRPr="00BB2234" w:rsidRDefault="009C01BD" w:rsidP="009C01BD">
      <w:pPr>
        <w:ind w:left="72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8"/>
        <w:gridCol w:w="2896"/>
        <w:gridCol w:w="2816"/>
      </w:tblGrid>
      <w:tr w:rsidR="009B5366" w:rsidRPr="00BB2234" w14:paraId="048F61E5" w14:textId="491FEB94" w:rsidTr="009C01BD">
        <w:tc>
          <w:tcPr>
            <w:tcW w:w="2918" w:type="dxa"/>
          </w:tcPr>
          <w:p w14:paraId="44DC5A66" w14:textId="594EDEED" w:rsidR="009C01BD" w:rsidRPr="00BB2234" w:rsidRDefault="009C01BD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Time(t)</w:t>
            </w:r>
          </w:p>
        </w:tc>
        <w:tc>
          <w:tcPr>
            <w:tcW w:w="2896" w:type="dxa"/>
          </w:tcPr>
          <w:p w14:paraId="5484C53C" w14:textId="2E5D9DB2" w:rsidR="009C01BD" w:rsidRPr="00BB2234" w:rsidRDefault="009C01BD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Survival </w:t>
            </w:r>
            <w:proofErr w:type="gramStart"/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probability(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oMath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2816" w:type="dxa"/>
          </w:tcPr>
          <w:p w14:paraId="689D6B9F" w14:textId="58CE385C" w:rsidR="009C01BD" w:rsidRPr="00BB2234" w:rsidRDefault="009C01BD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group</w:t>
            </w:r>
          </w:p>
        </w:tc>
      </w:tr>
      <w:tr w:rsidR="003A41E0" w:rsidRPr="00BB2234" w14:paraId="303E6C89" w14:textId="7A36B150" w:rsidTr="009C01BD">
        <w:tc>
          <w:tcPr>
            <w:tcW w:w="2918" w:type="dxa"/>
          </w:tcPr>
          <w:p w14:paraId="0BAB5288" w14:textId="77777777" w:rsidR="009C01BD" w:rsidRPr="00BB2234" w:rsidRDefault="009C01BD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96" w:type="dxa"/>
          </w:tcPr>
          <w:p w14:paraId="4689D1B2" w14:textId="77777777" w:rsidR="009C01BD" w:rsidRPr="00BB2234" w:rsidRDefault="009C01BD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16" w:type="dxa"/>
          </w:tcPr>
          <w:p w14:paraId="1F3D4240" w14:textId="77777777" w:rsidR="009C01BD" w:rsidRPr="00BB2234" w:rsidRDefault="009C01BD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43DE5E81" w14:textId="77777777" w:rsidR="009C01BD" w:rsidRPr="00BB2234" w:rsidRDefault="009C01BD" w:rsidP="009C01BD">
      <w:pPr>
        <w:ind w:left="72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32CF21" w14:textId="77777777" w:rsidR="009C01BD" w:rsidRPr="00BB2234" w:rsidRDefault="009C01BD" w:rsidP="009C01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F8E8332" w14:textId="2A9AF6E0" w:rsidR="001A66D5" w:rsidRPr="00BB2234" w:rsidRDefault="001A66D5" w:rsidP="00591184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A6B724E" w14:textId="070D0BDB" w:rsidR="001A66D5" w:rsidRPr="00BB2234" w:rsidRDefault="001A66D5" w:rsidP="001A66D5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7C90EBB" w14:textId="77777777" w:rsidR="00660826" w:rsidRPr="00BB2234" w:rsidRDefault="00660826" w:rsidP="00660826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Reference:</w:t>
      </w:r>
    </w:p>
    <w:p w14:paraId="4746C67E" w14:textId="77777777" w:rsidR="00660826" w:rsidRPr="00BB2234" w:rsidRDefault="00000000" w:rsidP="00660826">
      <w:pPr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hyperlink r:id="rId5" w:history="1">
        <w:r w:rsidR="00660826" w:rsidRPr="00BB223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lang w:val="en-US"/>
          </w:rPr>
          <w:t>https://yuzar-blog.netlify.app/posts/2021-01-03-survival-analysis-1-a-gentle-introduction-into-kaplan-meier-curves/</w:t>
        </w:r>
      </w:hyperlink>
    </w:p>
    <w:p w14:paraId="0139B036" w14:textId="77777777" w:rsidR="00660826" w:rsidRPr="00BB2234" w:rsidRDefault="00000000" w:rsidP="00660826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hyperlink r:id="rId6" w:history="1">
        <w:r w:rsidR="00660826" w:rsidRPr="00BB223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https://www.ncbi.nlm.nih.gov/pmc/articles/PMC3059453/</w:t>
        </w:r>
      </w:hyperlink>
    </w:p>
    <w:p w14:paraId="1D29B254" w14:textId="77777777" w:rsidR="00660826" w:rsidRPr="00BB2234" w:rsidRDefault="00000000" w:rsidP="0066082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7" w:history="1">
        <w:r w:rsidR="00660826" w:rsidRPr="00BB223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lang w:val="en-US"/>
          </w:rPr>
          <w:t>https://towardsdatascience.com/kaplan-meier-curve-explained-9c78a681faca</w:t>
        </w:r>
      </w:hyperlink>
    </w:p>
    <w:p w14:paraId="63AB0885" w14:textId="6A80F944" w:rsidR="00660826" w:rsidRPr="00BB2234" w:rsidRDefault="00660826" w:rsidP="0066082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E788E8" w14:textId="7D7C1900" w:rsidR="009B5366" w:rsidRPr="00BB2234" w:rsidRDefault="009B5366" w:rsidP="0066082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2E5A9C" w14:textId="77777777" w:rsidR="009B5366" w:rsidRPr="00BB2234" w:rsidRDefault="009B5366" w:rsidP="009B536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sz w:val="20"/>
          <w:szCs w:val="20"/>
          <w:lang w:val="en-US"/>
        </w:rPr>
        <w:lastRenderedPageBreak/>
        <w:t>What is log-rank Test?</w:t>
      </w:r>
    </w:p>
    <w:p w14:paraId="478EACB2" w14:textId="3C2A5374" w:rsidR="002450CC" w:rsidRPr="00BB2234" w:rsidRDefault="009B5366" w:rsidP="003A4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Hypothesis test to test whether there is 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a 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statistical difference between groups in the survival probability of events at 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any 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time</w:t>
      </w:r>
      <w:r w:rsidR="003A41E0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The null hypothesis is 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that</w:t>
      </w:r>
      <w:r w:rsidR="003A41E0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there</w:t>
      </w:r>
      <w:r w:rsidR="003A41E0" w:rsidRPr="00BB22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A41E0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 no statistical difference between groups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3A41E0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hence if the </w:t>
      </w:r>
      <w:proofErr w:type="spellStart"/>
      <w:r w:rsidR="003A41E0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pvalue</w:t>
      </w:r>
      <w:proofErr w:type="spellEnd"/>
      <w:r w:rsidR="003A41E0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is smaller than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 </w:t>
      </w:r>
      <w:r w:rsidR="003A41E0" w:rsidRPr="00BB2234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significance </w:t>
      </w:r>
      <w:proofErr w:type="gramStart"/>
      <w:r w:rsidR="003A41E0" w:rsidRPr="00BB2234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level</w:t>
      </w:r>
      <w:r w:rsidR="003A41E0" w:rsidRPr="00BB2234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="003A41E0" w:rsidRPr="00BB2234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normally 0.05), we reject the null hypothesis which means there is </w:t>
      </w:r>
      <w:r w:rsidR="003A41E0"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statistical difference between groups.</w:t>
      </w:r>
    </w:p>
    <w:p w14:paraId="6F331C06" w14:textId="77777777" w:rsidR="009B5366" w:rsidRPr="00BB2234" w:rsidRDefault="009B5366" w:rsidP="009B5366">
      <w:pPr>
        <w:ind w:left="72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8"/>
        <w:gridCol w:w="2896"/>
        <w:gridCol w:w="2533"/>
      </w:tblGrid>
      <w:tr w:rsidR="009B5366" w:rsidRPr="00BB2234" w14:paraId="7E7C1B06" w14:textId="77777777" w:rsidTr="00753C02">
        <w:tc>
          <w:tcPr>
            <w:tcW w:w="2918" w:type="dxa"/>
          </w:tcPr>
          <w:p w14:paraId="16C6F277" w14:textId="77777777" w:rsidR="009B5366" w:rsidRPr="00BB2234" w:rsidRDefault="009B5366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Time(t)</w:t>
            </w:r>
          </w:p>
        </w:tc>
        <w:tc>
          <w:tcPr>
            <w:tcW w:w="2896" w:type="dxa"/>
          </w:tcPr>
          <w:p w14:paraId="69508270" w14:textId="19644D31" w:rsidR="009B5366" w:rsidRPr="00BB2234" w:rsidRDefault="003A41E0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Status/events</w:t>
            </w:r>
          </w:p>
        </w:tc>
        <w:tc>
          <w:tcPr>
            <w:tcW w:w="2533" w:type="dxa"/>
          </w:tcPr>
          <w:p w14:paraId="50A90044" w14:textId="77777777" w:rsidR="009B5366" w:rsidRPr="00BB2234" w:rsidRDefault="009B5366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group</w:t>
            </w:r>
          </w:p>
        </w:tc>
      </w:tr>
      <w:tr w:rsidR="009B5366" w:rsidRPr="00BB2234" w14:paraId="797FA002" w14:textId="77777777" w:rsidTr="00753C02">
        <w:tc>
          <w:tcPr>
            <w:tcW w:w="2918" w:type="dxa"/>
          </w:tcPr>
          <w:p w14:paraId="7A25ABB7" w14:textId="77777777" w:rsidR="009B5366" w:rsidRPr="00BB2234" w:rsidRDefault="009B5366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96" w:type="dxa"/>
          </w:tcPr>
          <w:p w14:paraId="1239731C" w14:textId="77777777" w:rsidR="009B5366" w:rsidRPr="00BB2234" w:rsidRDefault="009B5366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533" w:type="dxa"/>
          </w:tcPr>
          <w:p w14:paraId="4101B4BD" w14:textId="77777777" w:rsidR="009B5366" w:rsidRPr="00BB2234" w:rsidRDefault="009B5366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3E81CB99" w14:textId="5AFA0A5C" w:rsidR="003A41E0" w:rsidRPr="00BB2234" w:rsidRDefault="003A41E0" w:rsidP="009B536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8556A2" w14:textId="0A5EFCA0" w:rsidR="00BB2234" w:rsidRPr="00BB2234" w:rsidRDefault="00753C02" w:rsidP="009B536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To</w:t>
      </w:r>
      <w:r w:rsidR="003A41E0" w:rsidRPr="00BB2234">
        <w:rPr>
          <w:rFonts w:ascii="Times New Roman" w:hAnsi="Times New Roman" w:cs="Times New Roman"/>
          <w:sz w:val="20"/>
          <w:szCs w:val="20"/>
          <w:lang w:val="en-US"/>
        </w:rPr>
        <w:t xml:space="preserve"> manually calculate the </w:t>
      </w:r>
      <w:proofErr w:type="spellStart"/>
      <w:r w:rsidR="003A41E0" w:rsidRPr="00BB2234">
        <w:rPr>
          <w:rFonts w:ascii="Times New Roman" w:hAnsi="Times New Roman" w:cs="Times New Roman"/>
          <w:sz w:val="20"/>
          <w:szCs w:val="20"/>
          <w:lang w:val="en-US"/>
        </w:rPr>
        <w:t>pvalue</w:t>
      </w:r>
      <w:proofErr w:type="spellEnd"/>
      <w:r w:rsidR="003A41E0" w:rsidRPr="00BB2234">
        <w:rPr>
          <w:rFonts w:ascii="Times New Roman" w:hAnsi="Times New Roman" w:cs="Times New Roman"/>
          <w:sz w:val="20"/>
          <w:szCs w:val="20"/>
          <w:lang w:val="en-US"/>
        </w:rPr>
        <w:t xml:space="preserve"> with two group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3A41E0" w:rsidRPr="00BB2234">
        <w:rPr>
          <w:rFonts w:ascii="Times New Roman" w:hAnsi="Times New Roman" w:cs="Times New Roman"/>
          <w:sz w:val="20"/>
          <w:szCs w:val="20"/>
          <w:lang w:val="en-US"/>
        </w:rPr>
        <w:t xml:space="preserve">, we firstly get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r w:rsidR="003A41E0" w:rsidRPr="00BB2234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="00CC4DC4" w:rsidRPr="00BB2234">
        <w:rPr>
          <w:rFonts w:ascii="Times New Roman" w:hAnsi="Times New Roman" w:cs="Times New Roman"/>
          <w:sz w:val="20"/>
          <w:szCs w:val="20"/>
          <w:lang w:val="en-US"/>
        </w:rPr>
        <w:t xml:space="preserve">, where for each time to event, where m is the number of subject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that </w:t>
      </w:r>
      <w:r w:rsidR="00CC4DC4" w:rsidRPr="00BB2234">
        <w:rPr>
          <w:rFonts w:ascii="Times New Roman" w:hAnsi="Times New Roman" w:cs="Times New Roman"/>
          <w:sz w:val="20"/>
          <w:szCs w:val="20"/>
          <w:lang w:val="en-US"/>
        </w:rPr>
        <w:t>experienced events at that time; q is the number of censored subject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CC4DC4" w:rsidRPr="00BB2234">
        <w:rPr>
          <w:rFonts w:ascii="Times New Roman" w:hAnsi="Times New Roman" w:cs="Times New Roman"/>
          <w:sz w:val="20"/>
          <w:szCs w:val="20"/>
          <w:lang w:val="en-US"/>
        </w:rPr>
        <w:t xml:space="preserve"> at that time; n is the number of sub</w:t>
      </w:r>
      <w:r w:rsidR="00930545" w:rsidRPr="00BB2234">
        <w:rPr>
          <w:rFonts w:ascii="Times New Roman" w:hAnsi="Times New Roman" w:cs="Times New Roman"/>
          <w:sz w:val="20"/>
          <w:szCs w:val="20"/>
          <w:lang w:val="en-US"/>
        </w:rPr>
        <w:t>j</w:t>
      </w:r>
      <w:r w:rsidR="00CC4DC4" w:rsidRPr="00BB2234">
        <w:rPr>
          <w:rFonts w:ascii="Times New Roman" w:hAnsi="Times New Roman" w:cs="Times New Roman"/>
          <w:sz w:val="20"/>
          <w:szCs w:val="20"/>
          <w:lang w:val="en-US"/>
        </w:rPr>
        <w:t>ect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CC4DC4" w:rsidRPr="00BB2234">
        <w:rPr>
          <w:rFonts w:ascii="Times New Roman" w:hAnsi="Times New Roman" w:cs="Times New Roman"/>
          <w:sz w:val="20"/>
          <w:szCs w:val="20"/>
          <w:lang w:val="en-US"/>
        </w:rPr>
        <w:t xml:space="preserve"> at risk at that time</w:t>
      </w:r>
      <w:r w:rsidR="00930545" w:rsidRPr="00BB2234">
        <w:rPr>
          <w:rFonts w:ascii="Times New Roman" w:hAnsi="Times New Roman" w:cs="Times New Roman"/>
          <w:sz w:val="20"/>
          <w:szCs w:val="20"/>
          <w:lang w:val="en-US"/>
        </w:rPr>
        <w:t xml:space="preserve">(= the number of </w:t>
      </w:r>
      <w:r>
        <w:rPr>
          <w:rFonts w:ascii="Times New Roman" w:hAnsi="Times New Roman" w:cs="Times New Roman"/>
          <w:sz w:val="20"/>
          <w:szCs w:val="20"/>
          <w:lang w:val="en-US"/>
        </w:rPr>
        <w:t>subjects</w:t>
      </w:r>
      <w:r w:rsidR="00930545" w:rsidRPr="00BB2234">
        <w:rPr>
          <w:rFonts w:ascii="Times New Roman" w:hAnsi="Times New Roman" w:cs="Times New Roman"/>
          <w:sz w:val="20"/>
          <w:szCs w:val="20"/>
          <w:lang w:val="en-US"/>
        </w:rPr>
        <w:t xml:space="preserve"> at risk last time minus the number of subject event happened and censored subject); e is the number of expected observed number of event happened</w:t>
      </w:r>
    </w:p>
    <w:p w14:paraId="59F430F7" w14:textId="46597B77" w:rsidR="003A41E0" w:rsidRPr="00BB2234" w:rsidRDefault="00BB2234" w:rsidP="009B5366">
      <w:pPr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</w:rPr>
      </w:pPr>
      <w:r w:rsidRPr="00BB22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pacing w:val="-2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pacing w:val="-2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pacing w:val="-2"/>
                <w:sz w:val="20"/>
                <w:szCs w:val="20"/>
                <w:lang w:val="en-US"/>
              </w:rPr>
              <m:t>1</m:t>
            </m:r>
          </m:sub>
        </m:sSub>
      </m:oMath>
      <w:r w:rsidRPr="00BB2234"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spacing w:val="-2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pacing w:val="-2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spacing w:val="-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pacing w:val="-2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pacing w:val="-2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pacing w:val="-2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pacing w:val="-2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pacing w:val="-2"/>
                <w:sz w:val="20"/>
                <w:szCs w:val="20"/>
                <w:lang w:val="en-US"/>
              </w:rPr>
              <m:t>2</m:t>
            </m:r>
          </m:sub>
        </m:sSub>
      </m:oMath>
      <w:r w:rsidRPr="00BB2234"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  <w:t xml:space="preserve"> 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pacing w:val="-2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pacing w:val="-2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pacing w:val="-2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pacing w:val="-2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d>
      </m:oMath>
    </w:p>
    <w:p w14:paraId="71E24C62" w14:textId="77777777" w:rsidR="00BB2234" w:rsidRPr="00BB2234" w:rsidRDefault="00BB2234" w:rsidP="009B5366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61"/>
        <w:gridCol w:w="895"/>
        <w:gridCol w:w="1004"/>
        <w:gridCol w:w="904"/>
        <w:gridCol w:w="1004"/>
        <w:gridCol w:w="1004"/>
        <w:gridCol w:w="941"/>
        <w:gridCol w:w="941"/>
      </w:tblGrid>
      <w:tr w:rsidR="00CC4DC4" w:rsidRPr="00BB2234" w14:paraId="2F2559A4" w14:textId="72AD5D3D" w:rsidTr="00CC4DC4">
        <w:tc>
          <w:tcPr>
            <w:tcW w:w="976" w:type="dxa"/>
          </w:tcPr>
          <w:p w14:paraId="54A1862D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Time(t)</w:t>
            </w:r>
          </w:p>
        </w:tc>
        <w:tc>
          <w:tcPr>
            <w:tcW w:w="961" w:type="dxa"/>
          </w:tcPr>
          <w:p w14:paraId="53A560DC" w14:textId="176D5518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m1</w:t>
            </w:r>
          </w:p>
        </w:tc>
        <w:tc>
          <w:tcPr>
            <w:tcW w:w="895" w:type="dxa"/>
          </w:tcPr>
          <w:p w14:paraId="0A81C313" w14:textId="0FE12C85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q1</w:t>
            </w:r>
          </w:p>
        </w:tc>
        <w:tc>
          <w:tcPr>
            <w:tcW w:w="1004" w:type="dxa"/>
          </w:tcPr>
          <w:p w14:paraId="655BAA34" w14:textId="127E3C6F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n1</w:t>
            </w:r>
          </w:p>
        </w:tc>
        <w:tc>
          <w:tcPr>
            <w:tcW w:w="904" w:type="dxa"/>
          </w:tcPr>
          <w:p w14:paraId="17C032AC" w14:textId="6A9FE0C1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m2</w:t>
            </w:r>
          </w:p>
        </w:tc>
        <w:tc>
          <w:tcPr>
            <w:tcW w:w="1004" w:type="dxa"/>
          </w:tcPr>
          <w:p w14:paraId="31EE7410" w14:textId="6E05ABE2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q2</w:t>
            </w:r>
          </w:p>
        </w:tc>
        <w:tc>
          <w:tcPr>
            <w:tcW w:w="1004" w:type="dxa"/>
          </w:tcPr>
          <w:p w14:paraId="0DCD9D6E" w14:textId="59716392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n2</w:t>
            </w:r>
          </w:p>
        </w:tc>
        <w:tc>
          <w:tcPr>
            <w:tcW w:w="941" w:type="dxa"/>
          </w:tcPr>
          <w:p w14:paraId="5AD50A48" w14:textId="2B398A0A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e1</w:t>
            </w:r>
          </w:p>
        </w:tc>
        <w:tc>
          <w:tcPr>
            <w:tcW w:w="941" w:type="dxa"/>
          </w:tcPr>
          <w:p w14:paraId="7FDEE1D2" w14:textId="1C4C03C6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B223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e2</w:t>
            </w:r>
          </w:p>
        </w:tc>
      </w:tr>
      <w:tr w:rsidR="00CC4DC4" w:rsidRPr="00BB2234" w14:paraId="7FC91A11" w14:textId="248A2E73" w:rsidTr="00CC4DC4">
        <w:tc>
          <w:tcPr>
            <w:tcW w:w="976" w:type="dxa"/>
          </w:tcPr>
          <w:p w14:paraId="46ECA2B9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61" w:type="dxa"/>
          </w:tcPr>
          <w:p w14:paraId="7F2B6B3F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95" w:type="dxa"/>
          </w:tcPr>
          <w:p w14:paraId="3FBE3A23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4" w:type="dxa"/>
          </w:tcPr>
          <w:p w14:paraId="1C35662F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4" w:type="dxa"/>
          </w:tcPr>
          <w:p w14:paraId="0754A1A5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4" w:type="dxa"/>
          </w:tcPr>
          <w:p w14:paraId="7AE49D82" w14:textId="4364A682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4" w:type="dxa"/>
          </w:tcPr>
          <w:p w14:paraId="0EC620FA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</w:tcPr>
          <w:p w14:paraId="06B021A5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</w:tcPr>
          <w:p w14:paraId="6424C0AD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C4DC4" w:rsidRPr="00BB2234" w14:paraId="04E86518" w14:textId="77777777" w:rsidTr="00CC4DC4">
        <w:tc>
          <w:tcPr>
            <w:tcW w:w="976" w:type="dxa"/>
          </w:tcPr>
          <w:p w14:paraId="10CCF2A9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61" w:type="dxa"/>
          </w:tcPr>
          <w:p w14:paraId="2185FE0F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95" w:type="dxa"/>
          </w:tcPr>
          <w:p w14:paraId="2C7055EC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4" w:type="dxa"/>
          </w:tcPr>
          <w:p w14:paraId="6C9D1BB8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04" w:type="dxa"/>
          </w:tcPr>
          <w:p w14:paraId="623D4BA4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4" w:type="dxa"/>
          </w:tcPr>
          <w:p w14:paraId="648BBEB3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4" w:type="dxa"/>
          </w:tcPr>
          <w:p w14:paraId="601FB6FC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</w:tcPr>
          <w:p w14:paraId="3BBBD935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</w:tcPr>
          <w:p w14:paraId="3088A32B" w14:textId="77777777" w:rsidR="00CC4DC4" w:rsidRPr="00BB2234" w:rsidRDefault="00CC4DC4" w:rsidP="002154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0B2EBF99" w14:textId="75B7AD65" w:rsidR="00BB2234" w:rsidRDefault="00BB2234" w:rsidP="00BB223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B2234"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  <w:lang w:val="en-US"/>
        </w:rPr>
        <w:t>T</w:t>
      </w:r>
      <w:r w:rsidR="00934B7E" w:rsidRPr="00BB2234"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  <w:lang w:val="en-US"/>
        </w:rPr>
        <w:t xml:space="preserve">he Log-statistics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pacing w:val="-2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 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pacing w:val="-2"/>
                <w:sz w:val="20"/>
                <w:szCs w:val="20"/>
                <w:lang w:val="en-US"/>
              </w:rPr>
              <m:t>Var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 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</m:d>
          </m:den>
        </m:f>
      </m:oMath>
      <w:r w:rsidR="00934B7E" w:rsidRPr="00BB2234"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 xml:space="preserve">  </w:t>
      </w:r>
      <w:r w:rsidRPr="00BB2234"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 xml:space="preserve"> where </w:t>
      </w:r>
      <m:oMath>
        <m:r>
          <w:rPr>
            <w:rFonts w:ascii="Cambria Math" w:eastAsia="Times New Roman" w:hAnsi="Cambria Math" w:cs="Times New Roman"/>
            <w:color w:val="000000" w:themeColor="text1"/>
            <w:spacing w:val="-2"/>
            <w:sz w:val="20"/>
            <w:szCs w:val="20"/>
            <w:lang w:val="en-US"/>
          </w:rPr>
          <m:t>Var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pacing w:val="-2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pacing w:val="-2"/>
                <w:sz w:val="20"/>
                <w:szCs w:val="20"/>
                <w:lang w:val="en-US"/>
              </w:rPr>
              <m:t> 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pacing w:val="-2"/>
            <w:sz w:val="20"/>
            <w:szCs w:val="20"/>
            <w:lang w:val="en-US"/>
          </w:rPr>
          <m:t>= </m:t>
        </m:r>
        <m:nary>
          <m:naryPr>
            <m:chr m:val="∑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pacing w:val="-2"/>
                <w:sz w:val="20"/>
                <w:szCs w:val="20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)(n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pacing w:val="-2"/>
                    <w:sz w:val="20"/>
                    <w:szCs w:val="20"/>
                    <w:lang w:val="en-US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color w:val="000000" w:themeColor="text1"/>
                                <w:spacing w:val="-2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pacing w:val="-2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pacing w:val="-2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color w:val="000000" w:themeColor="text1"/>
                                <w:spacing w:val="-2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pacing w:val="-2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pacing w:val="-2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pacing w:val="-2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pacing w:val="-2"/>
                        <w:sz w:val="20"/>
                        <w:szCs w:val="20"/>
                        <w:lang w:val="en-US"/>
                      </w:rPr>
                      <m:t>-1</m:t>
                    </m:r>
                  </m:e>
                </m:d>
              </m:den>
            </m:f>
          </m:e>
        </m:nary>
      </m:oMath>
      <w:r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>,</w:t>
      </w:r>
      <w:r w:rsidRPr="00BB2234">
        <w:rPr>
          <w:rFonts w:ascii="Cambria Math" w:eastAsia="Times New Roman" w:hAnsi="Cambria Math" w:cs="Times New Roman"/>
          <w:i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(O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 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 xml:space="preserve">) </m:t>
        </m:r>
      </m:oMath>
      <w:r w:rsidRPr="00BB2234">
        <w:rPr>
          <w:rFonts w:ascii="Times New Roman" w:hAnsi="Times New Roman" w:cs="Times New Roman"/>
          <w:sz w:val="20"/>
          <w:szCs w:val="20"/>
          <w:lang w:val="en-US"/>
        </w:rPr>
        <w:t xml:space="preserve">is the sum of the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(m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 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)</m:t>
        </m:r>
      </m:oMath>
      <w:r w:rsidRPr="00BB22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77A95">
        <w:rPr>
          <w:rFonts w:ascii="Times New Roman" w:hAnsi="Times New Roman" w:cs="Times New Roman"/>
          <w:sz w:val="20"/>
          <w:szCs w:val="20"/>
          <w:lang w:val="en-US"/>
        </w:rPr>
        <w:t xml:space="preserve">across time </w:t>
      </w:r>
      <w:r w:rsidRPr="00BB2234">
        <w:rPr>
          <w:rFonts w:ascii="Times New Roman" w:hAnsi="Times New Roman" w:cs="Times New Roman"/>
          <w:sz w:val="20"/>
          <w:szCs w:val="20"/>
          <w:lang w:val="en-US"/>
        </w:rPr>
        <w:t>which represent the difference between the number of observed events and the number of expected events</w:t>
      </w:r>
      <w:r w:rsidR="00753C02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r w:rsidR="005C6678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753C02">
        <w:rPr>
          <w:rFonts w:ascii="Times New Roman" w:hAnsi="Times New Roman" w:cs="Times New Roman"/>
          <w:sz w:val="20"/>
          <w:szCs w:val="20"/>
          <w:lang w:val="en-US"/>
        </w:rPr>
        <w:t>second group</w:t>
      </w:r>
      <w:r w:rsidRPr="00BB2234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E6F302C" w14:textId="77777777" w:rsidR="00BB2234" w:rsidRDefault="00BB2234" w:rsidP="00BB223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854C1D" w14:textId="71FFE424" w:rsidR="00C01768" w:rsidRDefault="00BB2234" w:rsidP="00753C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B2234"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 xml:space="preserve">Then the </w:t>
      </w:r>
      <w:proofErr w:type="spellStart"/>
      <w:r w:rsidRPr="00BB2234"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>pv</w:t>
      </w:r>
      <w:r w:rsidR="00177A95"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>a</w:t>
      </w:r>
      <w:r w:rsidRPr="00BB2234"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>lue</w:t>
      </w:r>
      <w:proofErr w:type="spellEnd"/>
      <w:r w:rsidRPr="00BB2234"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 xml:space="preserve"> extracted from the log statistic</w:t>
      </w:r>
      <w:r w:rsidR="005C6678"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 xml:space="preserve"> to compare with a chi square distribution with degrees of freedom </w:t>
      </w:r>
      <w:r w:rsidR="00177A95"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 xml:space="preserve">which is </w:t>
      </w:r>
      <w:r w:rsidR="005C6678"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>the number of groups minus 1</w:t>
      </w:r>
      <w:r w:rsidRPr="00BB2234">
        <w:rPr>
          <w:rFonts w:ascii="Times New Roman" w:eastAsia="Times New Roman" w:hAnsi="Times New Roman" w:cs="Times New Roman"/>
          <w:iCs/>
          <w:color w:val="000000" w:themeColor="text1"/>
          <w:spacing w:val="-2"/>
          <w:sz w:val="20"/>
          <w:szCs w:val="20"/>
          <w:lang w:val="en-US"/>
        </w:rPr>
        <w:t>.</w:t>
      </w:r>
    </w:p>
    <w:p w14:paraId="0E554C2F" w14:textId="74A35C41" w:rsidR="00753C02" w:rsidRPr="00753C02" w:rsidRDefault="00753C02" w:rsidP="00753C0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There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package in R and python can calculate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pvalue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with data provided with time, status, group. </w:t>
      </w:r>
    </w:p>
    <w:p w14:paraId="77CF84E9" w14:textId="77777777" w:rsidR="00C01768" w:rsidRPr="00BB2234" w:rsidRDefault="00C01768" w:rsidP="00C01768">
      <w:pPr>
        <w:pBdr>
          <w:bottom w:val="single" w:sz="6" w:space="0" w:color="97B0C8"/>
        </w:pBdr>
        <w:spacing w:before="400" w:after="20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</w:pPr>
    </w:p>
    <w:p w14:paraId="59246E7B" w14:textId="77777777" w:rsidR="00C01768" w:rsidRPr="00BB2234" w:rsidRDefault="00C01768" w:rsidP="00C01768">
      <w:pPr>
        <w:pBdr>
          <w:bottom w:val="single" w:sz="6" w:space="0" w:color="97B0C8"/>
        </w:pBdr>
        <w:spacing w:before="400" w:after="20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</w:pPr>
    </w:p>
    <w:p w14:paraId="23C91E67" w14:textId="77777777" w:rsidR="00753C02" w:rsidRDefault="00753C02" w:rsidP="00C01768">
      <w:pPr>
        <w:pBdr>
          <w:bottom w:val="single" w:sz="6" w:space="0" w:color="97B0C8"/>
        </w:pBdr>
        <w:spacing w:before="400" w:after="20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</w:pPr>
    </w:p>
    <w:p w14:paraId="18C11C83" w14:textId="77777777" w:rsidR="00753C02" w:rsidRDefault="00753C02" w:rsidP="00C01768">
      <w:pPr>
        <w:pBdr>
          <w:bottom w:val="single" w:sz="6" w:space="0" w:color="97B0C8"/>
        </w:pBdr>
        <w:spacing w:before="400" w:after="20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</w:pPr>
    </w:p>
    <w:p w14:paraId="2818F674" w14:textId="77777777" w:rsidR="00753C02" w:rsidRDefault="00753C02" w:rsidP="00C01768">
      <w:pPr>
        <w:pBdr>
          <w:bottom w:val="single" w:sz="6" w:space="0" w:color="97B0C8"/>
        </w:pBdr>
        <w:spacing w:before="400" w:after="20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</w:pPr>
    </w:p>
    <w:p w14:paraId="6155AFD3" w14:textId="77777777" w:rsidR="00753C02" w:rsidRDefault="00753C02" w:rsidP="00C01768">
      <w:pPr>
        <w:pBdr>
          <w:bottom w:val="single" w:sz="6" w:space="0" w:color="97B0C8"/>
        </w:pBdr>
        <w:spacing w:before="400" w:after="20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</w:pPr>
    </w:p>
    <w:p w14:paraId="5681D090" w14:textId="77777777" w:rsidR="00753C02" w:rsidRDefault="00753C02" w:rsidP="00C01768">
      <w:pPr>
        <w:pBdr>
          <w:bottom w:val="single" w:sz="6" w:space="0" w:color="97B0C8"/>
        </w:pBdr>
        <w:spacing w:before="400" w:after="20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</w:pPr>
    </w:p>
    <w:p w14:paraId="047EFA31" w14:textId="77777777" w:rsidR="00753C02" w:rsidRDefault="00753C02" w:rsidP="00C01768">
      <w:pPr>
        <w:pBdr>
          <w:bottom w:val="single" w:sz="6" w:space="0" w:color="97B0C8"/>
        </w:pBdr>
        <w:spacing w:before="400" w:after="20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</w:pPr>
    </w:p>
    <w:p w14:paraId="151F40A8" w14:textId="1C8BABA2" w:rsidR="00C01768" w:rsidRPr="00BB2234" w:rsidRDefault="00C01768" w:rsidP="00C01768">
      <w:pPr>
        <w:pBdr>
          <w:bottom w:val="single" w:sz="6" w:space="0" w:color="97B0C8"/>
        </w:pBdr>
        <w:spacing w:before="400" w:after="20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</w:pPr>
      <w:r w:rsidRPr="00BB2234"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  <w:lastRenderedPageBreak/>
        <w:t>Cox proportiona</w:t>
      </w:r>
      <w:r w:rsidR="004F48C6"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  <w:lang w:val="en-US"/>
        </w:rPr>
        <w:t>l</w:t>
      </w:r>
      <w:r w:rsidRPr="00BB2234">
        <w:rPr>
          <w:rFonts w:ascii="Times New Roman" w:eastAsia="Times New Roman" w:hAnsi="Times New Roman" w:cs="Times New Roman"/>
          <w:color w:val="000000" w:themeColor="text1"/>
          <w:spacing w:val="-2"/>
          <w:sz w:val="20"/>
          <w:szCs w:val="20"/>
        </w:rPr>
        <w:t xml:space="preserve"> hazard model</w:t>
      </w:r>
    </w:p>
    <w:p w14:paraId="6B002500" w14:textId="77777777" w:rsidR="00C01768" w:rsidRPr="00BB2234" w:rsidRDefault="00C01768" w:rsidP="00C01768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Limitation of </w:t>
      </w:r>
      <w:proofErr w:type="spellStart"/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logrank</w:t>
      </w:r>
      <w:proofErr w:type="spellEnd"/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test:</w:t>
      </w:r>
    </w:p>
    <w:p w14:paraId="7F986523" w14:textId="7D3EE18F" w:rsidR="00C01768" w:rsidRPr="00BB2234" w:rsidRDefault="00C01768" w:rsidP="00C017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o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nly </w:t>
      </w:r>
      <w:r w:rsidR="009B5366"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analyze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the effect of one variable </w:t>
      </w:r>
    </w:p>
    <w:p w14:paraId="146CDE89" w14:textId="77777777" w:rsidR="00C01768" w:rsidRPr="00BB2234" w:rsidRDefault="00C01768" w:rsidP="00C017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does not allow us to investigate the simultaneous impact of multiple categorical variables or continuous variables</w:t>
      </w:r>
    </w:p>
    <w:p w14:paraId="2FA1FA1F" w14:textId="21673C8C" w:rsidR="00C01768" w:rsidRPr="00BB2234" w:rsidRDefault="00C01768" w:rsidP="00C017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log-rank test can only tell us if there is a statistically significant difference between groups. It cannot provide a hazard rate or hazard ratio. Hence, it cannot quantify this difference</w:t>
      </w:r>
    </w:p>
    <w:p w14:paraId="57DF915D" w14:textId="77777777" w:rsidR="00CC4DC4" w:rsidRPr="00BB2234" w:rsidRDefault="00CC4DC4" w:rsidP="00C01768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0CCE47B9" w14:textId="77777777" w:rsidR="00177A95" w:rsidRPr="00BB2234" w:rsidRDefault="00177A95" w:rsidP="00177A95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Assumption for Cox</w:t>
      </w:r>
    </w:p>
    <w:p w14:paraId="60A22A58" w14:textId="77777777" w:rsidR="00177A95" w:rsidRPr="00BB2234" w:rsidRDefault="00177A95" w:rsidP="00177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The proportional hazards assumption: In CPH, the hazard ratio is assumed to remain constant throughout the follow-up</w:t>
      </w:r>
    </w:p>
    <w:p w14:paraId="483F5D44" w14:textId="77777777" w:rsidR="00177A95" w:rsidRPr="00BB2234" w:rsidRDefault="00177A95" w:rsidP="00177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Independence of survival times between distinct individuals in the study population</w:t>
      </w:r>
    </w:p>
    <w:p w14:paraId="41E9D7BD" w14:textId="77777777" w:rsidR="00177A95" w:rsidRPr="00BB2234" w:rsidRDefault="00177A95" w:rsidP="00177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censoring is uninformative about the outcome of interest, censored have the same risk of suffering the study end-point as those who continue to be followed</w:t>
      </w:r>
    </w:p>
    <w:p w14:paraId="2A375F32" w14:textId="430645ED" w:rsidR="00CC4DC4" w:rsidRDefault="00CC4DC4" w:rsidP="00C01768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</w:pPr>
    </w:p>
    <w:p w14:paraId="545AE79C" w14:textId="77777777" w:rsidR="00177A95" w:rsidRPr="00BB2234" w:rsidRDefault="00177A95" w:rsidP="00177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Style w:val="Strong"/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It is a </w:t>
      </w:r>
      <w:r w:rsidRPr="00BB2234">
        <w:rPr>
          <w:rStyle w:val="Strong"/>
          <w:rFonts w:ascii="Times New Roman" w:hAnsi="Times New Roman" w:cs="Times New Roman"/>
          <w:color w:val="000000" w:themeColor="text1"/>
          <w:sz w:val="20"/>
          <w:szCs w:val="20"/>
        </w:rPr>
        <w:t>semi-parametric model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because there are no assumptions about the shape of the baseline hazard function</w:t>
      </w:r>
    </w:p>
    <w:p w14:paraId="14502ABC" w14:textId="77777777" w:rsidR="00177A95" w:rsidRPr="00177A95" w:rsidRDefault="00177A95" w:rsidP="00177A95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77A9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Formula for the model:</w:t>
      </w:r>
    </w:p>
    <w:p w14:paraId="62B56DE3" w14:textId="1E1E4EAF" w:rsidR="00177A95" w:rsidRDefault="00177A95" w:rsidP="00177A95">
      <w:pPr>
        <w:ind w:left="1440" w:firstLine="720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</w:pPr>
      <w:r w:rsidRPr="00177A95">
        <w:rPr>
          <w:rFonts w:ascii="Times New Roman" w:hAnsi="Times New Roman" w:cs="Times New Roman"/>
          <w:color w:val="000000" w:themeColor="text1"/>
          <w:sz w:val="20"/>
          <w:szCs w:val="20"/>
        </w:rPr>
        <w:drawing>
          <wp:inline distT="0" distB="0" distL="0" distR="0" wp14:anchorId="0BBD5410" wp14:editId="794E9E09">
            <wp:extent cx="1992719" cy="443450"/>
            <wp:effectExtent l="0" t="0" r="1270" b="1270"/>
            <wp:docPr id="17" name="Picture 16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0643EEA-D4CA-9B4D-B23C-7AA77C0573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90643EEA-D4CA-9B4D-B23C-7AA77C0573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012" cy="5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0AFD" w14:textId="77777777" w:rsidR="00177A95" w:rsidRPr="00177A95" w:rsidRDefault="00177A95" w:rsidP="00C01768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</w:pPr>
    </w:p>
    <w:p w14:paraId="0B8C3E0B" w14:textId="36D87CC5" w:rsidR="00C01768" w:rsidRPr="00BB2234" w:rsidRDefault="00C01768" w:rsidP="00C01768">
      <w:pPr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hazard ratio (HR)</w:t>
      </w:r>
      <w:r w:rsidRPr="00BB2234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</w:p>
    <w:p w14:paraId="1E34DD3A" w14:textId="3DE3E336" w:rsidR="00C01768" w:rsidRDefault="00C01768" w:rsidP="00C017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B2234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It is the ratio of the total number of observed to expected events in two independent comparison groups</w:t>
      </w:r>
    </w:p>
    <w:p w14:paraId="6A90550C" w14:textId="78B4A967" w:rsidR="00177A95" w:rsidRPr="00177A95" w:rsidRDefault="00177A95" w:rsidP="00177A95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e.g.</w:t>
      </w:r>
      <w:proofErr w:type="gramEnd"/>
      <w:r w:rsidRPr="00177A95">
        <w:rPr>
          <w:noProof/>
        </w:rPr>
        <w:t xml:space="preserve"> </w:t>
      </w:r>
      <w:r w:rsidRPr="00177A9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 wp14:anchorId="59DFB8B7" wp14:editId="58A06751">
            <wp:extent cx="3516086" cy="489472"/>
            <wp:effectExtent l="0" t="0" r="1905" b="6350"/>
            <wp:docPr id="14" name="Picture 13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8A7AF84-1B51-6064-C7B6-98DCDEDFC2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8A7AF84-1B51-6064-C7B6-98DCDEDFC2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1503" cy="56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BA82" w14:textId="276EEE9F" w:rsidR="00C01768" w:rsidRPr="00BB2234" w:rsidRDefault="00C01768" w:rsidP="00C017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The estimated coefficients in the Cox proportional hazards regression 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model represent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the change in the expected log of the hazard ratio relative to a one unit change in X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1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 holding all other predictors constant.</w:t>
      </w:r>
    </w:p>
    <w:p w14:paraId="425AEF28" w14:textId="475C3383" w:rsidR="00C01768" w:rsidRPr="00BB2234" w:rsidRDefault="00C01768" w:rsidP="00C017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B2234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="00753C02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As the 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time component is </w:t>
      </w:r>
      <w:r w:rsidR="00753C02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canceled in the ratio, 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HR does not depend on time</w:t>
      </w:r>
      <w:r w:rsidRPr="00BB2234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BB2234">
        <w:rPr>
          <w:rStyle w:val="Emphasis"/>
          <w:rFonts w:ascii="Times New Roman" w:hAnsi="Times New Roman" w:cs="Times New Roman"/>
          <w:color w:val="000000" w:themeColor="text1"/>
          <w:sz w:val="20"/>
          <w:szCs w:val="20"/>
        </w:rPr>
        <w:t>t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 indicating a proportional hazard over time.</w:t>
      </w:r>
    </w:p>
    <w:p w14:paraId="2E49E192" w14:textId="50F8C55E" w:rsidR="002450CC" w:rsidRPr="00177A95" w:rsidRDefault="00C01768" w:rsidP="00177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B2234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The associations are quantified by the regression coefficients (b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1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 b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2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 ..., b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  <w:t>p</w:t>
      </w:r>
      <w:r w:rsidRPr="00BB223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)</w:t>
      </w:r>
    </w:p>
    <w:p w14:paraId="04A38A28" w14:textId="74402471" w:rsidR="00177A95" w:rsidRPr="00BB2234" w:rsidRDefault="00177A95" w:rsidP="001A66D5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FA68E7F" w14:textId="13B58611" w:rsidR="002450CC" w:rsidRPr="00BB2234" w:rsidRDefault="002450CC" w:rsidP="001A66D5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78425C3" w14:textId="77777777" w:rsidR="00C01768" w:rsidRPr="00BB2234" w:rsidRDefault="00C01768" w:rsidP="00C01768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Reference:</w:t>
      </w:r>
    </w:p>
    <w:p w14:paraId="13A98268" w14:textId="77777777" w:rsidR="00C01768" w:rsidRPr="00BB2234" w:rsidRDefault="00000000" w:rsidP="00C0176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0" w:history="1">
        <w:r w:rsidR="00C01768" w:rsidRPr="00BB223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https://www.nature.com/articles/6601118</w:t>
        </w:r>
      </w:hyperlink>
    </w:p>
    <w:p w14:paraId="68FC9E14" w14:textId="77777777" w:rsidR="00C01768" w:rsidRPr="00BB2234" w:rsidRDefault="00C01768" w:rsidP="00C0176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22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11" w:history="1">
        <w:r w:rsidRPr="00BB223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https://www.ncbi.nlm.nih.gov/pmc/articles/PMC7876211/</w:t>
        </w:r>
      </w:hyperlink>
    </w:p>
    <w:p w14:paraId="3E495E5A" w14:textId="77777777" w:rsidR="00C01768" w:rsidRPr="00BB2234" w:rsidRDefault="00000000" w:rsidP="00C0176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2" w:history="1">
        <w:r w:rsidR="00C01768" w:rsidRPr="00BB223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https://sphweb.bumc.bu.edu/otlt/mph-modules/bs/bs704_survival/BS704_Survival6.html</w:t>
        </w:r>
      </w:hyperlink>
    </w:p>
    <w:p w14:paraId="1FB56A8E" w14:textId="77777777" w:rsidR="00C01768" w:rsidRPr="00BB2234" w:rsidRDefault="00000000" w:rsidP="00C0176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3" w:history="1">
        <w:r w:rsidR="00C01768" w:rsidRPr="00BB223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https://www.r-bloggers.com/2019/09/survival-analysis-with-strata-clusters-frailties-and-competing-risks-in-in-finalfit/</w:t>
        </w:r>
      </w:hyperlink>
    </w:p>
    <w:p w14:paraId="1BEBFCF6" w14:textId="4E61AB96" w:rsidR="002450CC" w:rsidRPr="00BB2234" w:rsidRDefault="00000000" w:rsidP="003A41E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4" w:history="1">
        <w:r w:rsidR="003A41E0" w:rsidRPr="00BB2234">
          <w:rPr>
            <w:rStyle w:val="Hyperlink"/>
            <w:rFonts w:ascii="Times New Roman" w:hAnsi="Times New Roman" w:cs="Times New Roman"/>
            <w:sz w:val="20"/>
            <w:szCs w:val="20"/>
          </w:rPr>
          <w:t>https://journals.lww.com/anesthesia-analgesia/Fulltext/2021/04000/Kaplan_Meier_Curves,_Log_Rank_Tests,_and_Cox.7.aspx</w:t>
        </w:r>
      </w:hyperlink>
    </w:p>
    <w:p w14:paraId="3D261827" w14:textId="77777777" w:rsidR="003A41E0" w:rsidRPr="00BB2234" w:rsidRDefault="003A41E0" w:rsidP="003A41E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3A41E0" w:rsidRPr="00BB2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4A31"/>
    <w:multiLevelType w:val="hybridMultilevel"/>
    <w:tmpl w:val="021419CE"/>
    <w:lvl w:ilvl="0" w:tplc="869810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B5EBE"/>
    <w:multiLevelType w:val="hybridMultilevel"/>
    <w:tmpl w:val="7E96AED0"/>
    <w:lvl w:ilvl="0" w:tplc="7806FB48">
      <w:start w:val="202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  <w:b/>
        <w:color w:val="000000" w:themeColor="tex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36883"/>
    <w:multiLevelType w:val="hybridMultilevel"/>
    <w:tmpl w:val="166CB4BE"/>
    <w:lvl w:ilvl="0" w:tplc="68C6EDC4">
      <w:start w:val="2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76C20"/>
    <w:multiLevelType w:val="hybridMultilevel"/>
    <w:tmpl w:val="B69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C1B1F"/>
    <w:multiLevelType w:val="hybridMultilevel"/>
    <w:tmpl w:val="D08AE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44048"/>
    <w:multiLevelType w:val="hybridMultilevel"/>
    <w:tmpl w:val="EEA83C4C"/>
    <w:lvl w:ilvl="0" w:tplc="455059D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5599B"/>
    <w:multiLevelType w:val="hybridMultilevel"/>
    <w:tmpl w:val="04208C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F45FE"/>
    <w:multiLevelType w:val="hybridMultilevel"/>
    <w:tmpl w:val="B262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5329E"/>
    <w:multiLevelType w:val="hybridMultilevel"/>
    <w:tmpl w:val="0420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587830">
    <w:abstractNumId w:val="2"/>
  </w:num>
  <w:num w:numId="2" w16cid:durableId="571425228">
    <w:abstractNumId w:val="5"/>
  </w:num>
  <w:num w:numId="3" w16cid:durableId="799610768">
    <w:abstractNumId w:val="3"/>
  </w:num>
  <w:num w:numId="4" w16cid:durableId="1664352427">
    <w:abstractNumId w:val="7"/>
  </w:num>
  <w:num w:numId="5" w16cid:durableId="999429934">
    <w:abstractNumId w:val="4"/>
  </w:num>
  <w:num w:numId="6" w16cid:durableId="905993591">
    <w:abstractNumId w:val="8"/>
  </w:num>
  <w:num w:numId="7" w16cid:durableId="1471089594">
    <w:abstractNumId w:val="6"/>
  </w:num>
  <w:num w:numId="8" w16cid:durableId="1503885838">
    <w:abstractNumId w:val="0"/>
  </w:num>
  <w:num w:numId="9" w16cid:durableId="806822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DE"/>
    <w:rsid w:val="00044DCC"/>
    <w:rsid w:val="00177A95"/>
    <w:rsid w:val="001A66D5"/>
    <w:rsid w:val="001B504B"/>
    <w:rsid w:val="002450CC"/>
    <w:rsid w:val="002A0988"/>
    <w:rsid w:val="00363C11"/>
    <w:rsid w:val="00392E69"/>
    <w:rsid w:val="003A41E0"/>
    <w:rsid w:val="00485D47"/>
    <w:rsid w:val="004F48C6"/>
    <w:rsid w:val="00591184"/>
    <w:rsid w:val="005C6678"/>
    <w:rsid w:val="00614923"/>
    <w:rsid w:val="00660826"/>
    <w:rsid w:val="00753C02"/>
    <w:rsid w:val="00767883"/>
    <w:rsid w:val="00930545"/>
    <w:rsid w:val="00934B7E"/>
    <w:rsid w:val="00944345"/>
    <w:rsid w:val="009B5366"/>
    <w:rsid w:val="009C01BD"/>
    <w:rsid w:val="009D008C"/>
    <w:rsid w:val="00AB590E"/>
    <w:rsid w:val="00B26146"/>
    <w:rsid w:val="00B70166"/>
    <w:rsid w:val="00B805D8"/>
    <w:rsid w:val="00B9589B"/>
    <w:rsid w:val="00BB2234"/>
    <w:rsid w:val="00BE0147"/>
    <w:rsid w:val="00BF7A42"/>
    <w:rsid w:val="00C01768"/>
    <w:rsid w:val="00CC4DC4"/>
    <w:rsid w:val="00D57BB4"/>
    <w:rsid w:val="00D92F39"/>
    <w:rsid w:val="00F471DE"/>
    <w:rsid w:val="00F645CA"/>
    <w:rsid w:val="00FB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5ABC"/>
  <w15:chartTrackingRefBased/>
  <w15:docId w15:val="{CEEE0656-B685-A442-A87E-B8A5C188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184"/>
  </w:style>
  <w:style w:type="paragraph" w:styleId="Heading1">
    <w:name w:val="heading 1"/>
    <w:basedOn w:val="Normal"/>
    <w:next w:val="Normal"/>
    <w:link w:val="Heading1Char"/>
    <w:uiPriority w:val="9"/>
    <w:qFormat/>
    <w:rsid w:val="00F471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471D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71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47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1D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7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7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71DE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F471DE"/>
  </w:style>
  <w:style w:type="table" w:styleId="TableGrid">
    <w:name w:val="Table Grid"/>
    <w:basedOn w:val="TableNormal"/>
    <w:uiPriority w:val="39"/>
    <w:rsid w:val="00F47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261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61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01768"/>
  </w:style>
  <w:style w:type="character" w:styleId="Emphasis">
    <w:name w:val="Emphasis"/>
    <w:basedOn w:val="DefaultParagraphFont"/>
    <w:uiPriority w:val="20"/>
    <w:qFormat/>
    <w:rsid w:val="00C01768"/>
    <w:rPr>
      <w:i/>
      <w:iCs/>
    </w:rPr>
  </w:style>
  <w:style w:type="character" w:styleId="Strong">
    <w:name w:val="Strong"/>
    <w:basedOn w:val="DefaultParagraphFont"/>
    <w:uiPriority w:val="22"/>
    <w:qFormat/>
    <w:rsid w:val="00C01768"/>
    <w:rPr>
      <w:b/>
      <w:bCs/>
    </w:rPr>
  </w:style>
  <w:style w:type="table" w:styleId="TableGridLight">
    <w:name w:val="Grid Table Light"/>
    <w:basedOn w:val="TableNormal"/>
    <w:uiPriority w:val="40"/>
    <w:rsid w:val="00CC4DC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0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6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2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-bloggers.com/2019/09/survival-analysis-with-strata-clusters-frailties-and-competing-risks-in-in-finalf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kaplan-meier-curve-explained-9c78a681faca" TargetMode="External"/><Relationship Id="rId12" Type="http://schemas.openxmlformats.org/officeDocument/2006/relationships/hyperlink" Target="https://sphweb.bumc.bu.edu/otlt/mph-modules/bs/bs704_survival/BS704_Survival6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3059453/" TargetMode="External"/><Relationship Id="rId11" Type="http://schemas.openxmlformats.org/officeDocument/2006/relationships/hyperlink" Target="https://www.ncbi.nlm.nih.gov/pmc/articles/PMC7876211/" TargetMode="External"/><Relationship Id="rId5" Type="http://schemas.openxmlformats.org/officeDocument/2006/relationships/hyperlink" Target="https://yuzar-blog.netlify.app/posts/2021-01-03-survival-analysis-1-a-gentle-introduction-into-kaplan-meier-curv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ature.com/articles/66011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journals.lww.com/anesthesia-analgesia/Fulltext/2021/04000/Kaplan_Meier_Curves,_Log_Rank_Tests,_and_Cox.7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Cho</dc:creator>
  <cp:keywords/>
  <dc:description/>
  <cp:lastModifiedBy>Ya Cho</cp:lastModifiedBy>
  <cp:revision>12</cp:revision>
  <dcterms:created xsi:type="dcterms:W3CDTF">2023-01-23T00:02:00Z</dcterms:created>
  <dcterms:modified xsi:type="dcterms:W3CDTF">2023-01-25T01:39:00Z</dcterms:modified>
</cp:coreProperties>
</file>