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3B3B85">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7161018A" w:rsidR="00010760" w:rsidRDefault="003B3B85">
            <w:pPr>
              <w:jc w:val="center"/>
              <w:rPr>
                <w:rFonts w:ascii="Arial" w:hAnsi="Arial" w:cs="Arial"/>
                <w:b/>
                <w:sz w:val="18"/>
              </w:rPr>
            </w:pPr>
            <w:r w:rsidRPr="003B3B85">
              <w:rPr>
                <w:rFonts w:ascii="Times New Roman" w:hAnsi="Times New Roman"/>
                <w:bCs/>
                <w:noProof/>
                <w:szCs w:val="21"/>
              </w:rPr>
              <w:drawing>
                <wp:anchor distT="0" distB="0" distL="114300" distR="114300" simplePos="0" relativeHeight="251658240" behindDoc="1" locked="0" layoutInCell="1" allowOverlap="1" wp14:anchorId="177BC212" wp14:editId="0F9269E9">
                  <wp:simplePos x="0" y="0"/>
                  <wp:positionH relativeFrom="column">
                    <wp:posOffset>5080</wp:posOffset>
                  </wp:positionH>
                  <wp:positionV relativeFrom="paragraph">
                    <wp:posOffset>181610</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92">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DB79BD">
        <w:trPr>
          <w:trHeight w:val="285"/>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792DE96D" w:rsidR="00010760" w:rsidRDefault="00010760">
            <w:pPr>
              <w:jc w:val="center"/>
              <w:rPr>
                <w:rFonts w:ascii="Times New Roman" w:hAnsi="Times New Roman"/>
                <w:bCs/>
                <w:szCs w:val="21"/>
              </w:rPr>
            </w:pP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3B3B85">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3B3B85">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3B3B85">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3B3B85">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C36A4E">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C36A4E">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C36A4E">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C36A4E">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C36A4E">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C36A4E">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C36A4E">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C36A4E">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C36A4E">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C36A4E">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C36A4E">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C36A4E">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C36A4E">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C36A4E">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C36A4E">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C36A4E">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C36A4E">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C36A4E">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C36A4E">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C36A4E">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C36A4E">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C36A4E">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C36A4E">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C36A4E">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C36A4E">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C36A4E">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C36A4E">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C36A4E">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C36A4E">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0"/>
        <w:numPr>
          <w:ilvl w:val="1"/>
          <w:numId w:val="38"/>
        </w:numPr>
      </w:pPr>
      <w:bookmarkStart w:id="1" w:name="_Toc80268261"/>
      <w:r>
        <w:rPr>
          <w:rFonts w:hint="eastAsia"/>
        </w:rPr>
        <w:t>项目简介</w:t>
      </w:r>
      <w:bookmarkEnd w:id="1"/>
    </w:p>
    <w:p w14:paraId="614CAA7F" w14:textId="082E0843" w:rsidR="00EE4A1E" w:rsidRDefault="00EE4A1E" w:rsidP="00F100AF">
      <w:pPr>
        <w:widowControl/>
        <w:spacing w:line="360" w:lineRule="auto"/>
        <w:ind w:firstLineChars="187" w:firstLine="449"/>
        <w:rPr>
          <w:rFonts w:ascii="Times New Roman" w:hAnsi="Times New Roman"/>
          <w:color w:val="FF0000"/>
          <w:sz w:val="24"/>
        </w:rPr>
      </w:pPr>
      <w:r w:rsidRPr="00EE4A1E">
        <w:rPr>
          <w:rFonts w:ascii="Times New Roman" w:hAnsi="Times New Roman" w:hint="eastAsia"/>
          <w:color w:val="FF0000"/>
          <w:sz w:val="24"/>
        </w:rPr>
        <w:t>被测对象情况描述（必须包括被测对象责任主体、业务描述、网络拓扑描述）。</w:t>
      </w:r>
    </w:p>
    <w:p w14:paraId="2F3A5732" w14:textId="2AC84D5D"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CA7829" w:rsidRPr="00EF175F">
        <w:rPr>
          <w:rFonts w:ascii="Times New Roman" w:hAnsi="Times New Roman" w:hint="eastAsia"/>
          <w:sz w:val="24"/>
        </w:rPr>
        <w:t>GB/T 22239-2019</w:t>
      </w:r>
      <w:r w:rsidR="00CA7829"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CA7829">
        <w:rPr>
          <w:rFonts w:ascii="Times New Roman" w:hAnsi="Times New Roman" w:hint="eastAsia"/>
          <w:color w:val="FF0000"/>
          <w:sz w:val="24"/>
        </w:rPr>
        <w:t>（第二级）</w:t>
      </w:r>
      <w:r w:rsidR="00CA7829">
        <w:rPr>
          <w:rFonts w:ascii="Times New Roman" w:hAnsi="Times New Roman" w:hint="eastAsia"/>
          <w:color w:val="FF0000"/>
          <w:sz w:val="24"/>
        </w:rPr>
        <w:t>S</w:t>
      </w:r>
      <w:r w:rsidR="00CA7829">
        <w:rPr>
          <w:rFonts w:ascii="Times New Roman" w:hAnsi="Times New Roman"/>
          <w:color w:val="FF0000"/>
          <w:sz w:val="24"/>
        </w:rPr>
        <w:t>2</w:t>
      </w:r>
      <w:r w:rsidR="00CA7829">
        <w:rPr>
          <w:rFonts w:ascii="Times New Roman" w:hAnsi="Times New Roman" w:hint="eastAsia"/>
          <w:color w:val="FF0000"/>
          <w:sz w:val="24"/>
        </w:rPr>
        <w:t>A</w:t>
      </w:r>
      <w:r w:rsidR="00CA7829">
        <w:rPr>
          <w:rFonts w:ascii="Times New Roman" w:hAnsi="Times New Roman"/>
          <w:color w:val="FF0000"/>
          <w:sz w:val="24"/>
        </w:rPr>
        <w:t>2</w:t>
      </w:r>
      <w:r w:rsidR="00CA7829">
        <w:rPr>
          <w:rFonts w:ascii="Times New Roman" w:hAnsi="Times New Roman" w:hint="eastAsia"/>
          <w:color w:val="FF0000"/>
          <w:sz w:val="24"/>
        </w:rPr>
        <w:t>G</w:t>
      </w:r>
      <w:r w:rsidR="00CA7829">
        <w:rPr>
          <w:rFonts w:ascii="Times New Roman" w:hAnsi="Times New Roman"/>
          <w:color w:val="FF0000"/>
          <w:sz w:val="24"/>
        </w:rPr>
        <w:t>2</w:t>
      </w:r>
      <w:r w:rsidR="00082F35" w:rsidRPr="00EF175F">
        <w:rPr>
          <w:rFonts w:ascii="Times New Roman" w:hAnsi="Times New Roman"/>
          <w:sz w:val="24"/>
        </w:rPr>
        <w:t>的</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0"/>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34BFFA2A"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3ECDB13" w14:textId="40E67428" w:rsidR="00DB79BD" w:rsidRPr="00DB79BD" w:rsidRDefault="00DB79BD" w:rsidP="00DB79BD">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0"/>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3A756281" w14:textId="56B73B61"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p>
    <w:p w14:paraId="4450CB66" w14:textId="77777777" w:rsidR="00010760" w:rsidRDefault="00010760">
      <w:pPr>
        <w:spacing w:line="360" w:lineRule="auto"/>
        <w:ind w:firstLineChars="200" w:firstLine="480"/>
        <w:jc w:val="center"/>
        <w:rPr>
          <w:rFonts w:ascii="宋体" w:hAnsi="宋体"/>
          <w:sz w:val="24"/>
        </w:rPr>
      </w:pPr>
    </w:p>
    <w:p w14:paraId="6A97EE68" w14:textId="639977B8"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2</w:t>
      </w:r>
    </w:p>
    <w:p w14:paraId="61A1EA44" w14:textId="77777777" w:rsidR="00010760" w:rsidRDefault="00010760">
      <w:pPr>
        <w:spacing w:line="360" w:lineRule="auto"/>
        <w:ind w:firstLineChars="200" w:firstLine="480"/>
        <w:jc w:val="center"/>
        <w:rPr>
          <w:rFonts w:ascii="宋体" w:hAnsi="宋体"/>
          <w:sz w:val="24"/>
        </w:rPr>
      </w:pPr>
    </w:p>
    <w:p w14:paraId="1BA50E6B" w14:textId="5614A0CB"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3C435C47" w14:textId="2440E210"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4</w:t>
      </w:r>
    </w:p>
    <w:p w14:paraId="7F37E761" w14:textId="77777777" w:rsidR="00010760" w:rsidRDefault="00611792" w:rsidP="00ED4C1F">
      <w:pPr>
        <w:pStyle w:val="20"/>
        <w:numPr>
          <w:ilvl w:val="1"/>
          <w:numId w:val="39"/>
        </w:numPr>
      </w:pPr>
      <w:bookmarkStart w:id="8" w:name="_Toc80268265"/>
      <w:r>
        <w:rPr>
          <w:rFonts w:hint="eastAsia"/>
        </w:rPr>
        <w:t>定级情况</w:t>
      </w:r>
      <w:bookmarkEnd w:id="8"/>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0B828D1B" w14:textId="320A3566"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3B3B85">
        <w:rPr>
          <w:rFonts w:ascii="宋体" w:hAnsi="宋体" w:hint="eastAsia"/>
          <w:color w:val="FF0000"/>
          <w:sz w:val="24"/>
        </w:rPr>
        <w:t>二</w:t>
      </w:r>
      <w:r w:rsidRPr="00751B31">
        <w:rPr>
          <w:rFonts w:ascii="宋体" w:hAnsi="宋体"/>
          <w:color w:val="FF0000"/>
          <w:sz w:val="24"/>
        </w:rPr>
        <w:t>级</w:t>
      </w:r>
      <w:r>
        <w:rPr>
          <w:rFonts w:ascii="宋体" w:hAnsi="宋体"/>
          <w:sz w:val="24"/>
        </w:rPr>
        <w:t>（</w:t>
      </w:r>
      <w:r>
        <w:rPr>
          <w:rFonts w:ascii="宋体" w:hAnsi="宋体"/>
          <w:color w:val="FF0000"/>
          <w:sz w:val="24"/>
        </w:rPr>
        <w:t>S</w:t>
      </w:r>
      <w:r w:rsidR="003B3B85">
        <w:rPr>
          <w:rFonts w:ascii="宋体" w:hAnsi="宋体"/>
          <w:color w:val="FF0000"/>
          <w:sz w:val="24"/>
        </w:rPr>
        <w:t>2</w:t>
      </w:r>
      <w:r>
        <w:rPr>
          <w:rFonts w:ascii="宋体" w:hAnsi="宋体"/>
          <w:color w:val="FF0000"/>
          <w:sz w:val="24"/>
        </w:rPr>
        <w:t>A</w:t>
      </w:r>
      <w:r w:rsidR="003B3B85">
        <w:rPr>
          <w:rFonts w:ascii="宋体" w:hAnsi="宋体"/>
          <w:color w:val="FF0000"/>
          <w:sz w:val="24"/>
        </w:rPr>
        <w:t>2</w:t>
      </w:r>
      <w:r>
        <w:rPr>
          <w:rFonts w:ascii="宋体" w:hAnsi="宋体"/>
          <w:color w:val="FF0000"/>
          <w:sz w:val="24"/>
        </w:rPr>
        <w:t>G</w:t>
      </w:r>
      <w:r w:rsidR="003B3B85">
        <w:rPr>
          <w:rFonts w:ascii="宋体" w:hAnsi="宋体"/>
          <w:color w:val="FF0000"/>
          <w:sz w:val="24"/>
        </w:rPr>
        <w:t>2</w:t>
      </w:r>
      <w:r>
        <w:rPr>
          <w:rFonts w:ascii="宋体" w:hAnsi="宋体"/>
          <w:sz w:val="24"/>
        </w:rPr>
        <w:t>）。</w:t>
      </w:r>
    </w:p>
    <w:p w14:paraId="2A6BEE8C" w14:textId="67541501" w:rsidR="00010760" w:rsidRDefault="00611792" w:rsidP="00ED4C1F">
      <w:pPr>
        <w:pStyle w:val="20"/>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040FA67A"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3F1233">
        <w:rPr>
          <w:rFonts w:ascii="宋体" w:hAnsi="宋体"/>
          <w:color w:val="FF0000"/>
          <w:szCs w:val="21"/>
        </w:rPr>
        <w:t>2</w:t>
      </w:r>
      <w:r>
        <w:rPr>
          <w:rFonts w:ascii="宋体" w:hAnsi="宋体" w:hint="eastAsia"/>
          <w:color w:val="FF0000"/>
          <w:szCs w:val="21"/>
        </w:rPr>
        <w:t xml:space="preserve"> 网络拓扑</w:t>
      </w:r>
    </w:p>
    <w:p w14:paraId="6DC58EA7" w14:textId="44C0252C" w:rsidR="003F1233" w:rsidRDefault="003F1233" w:rsidP="003F123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0"/>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3F32C369"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643B08">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0"/>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FC5835">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0"/>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981FDC">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981FDC">
        <w:trPr>
          <w:trHeight w:val="454"/>
          <w:jc w:val="center"/>
        </w:trPr>
        <w:tc>
          <w:tcPr>
            <w:tcW w:w="1243" w:type="dxa"/>
            <w:vMerge w:val="restart"/>
            <w:vAlign w:val="center"/>
          </w:tcPr>
          <w:p w14:paraId="4C3D9DBE" w14:textId="77777777" w:rsidR="00EE74EF" w:rsidRDefault="00EE74EF" w:rsidP="00981FDC">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981FDC">
        <w:trPr>
          <w:trHeight w:val="454"/>
          <w:jc w:val="center"/>
        </w:trPr>
        <w:tc>
          <w:tcPr>
            <w:tcW w:w="1243" w:type="dxa"/>
            <w:vMerge/>
            <w:vAlign w:val="center"/>
          </w:tcPr>
          <w:p w14:paraId="25B50A29" w14:textId="77777777" w:rsidR="00EE74EF" w:rsidRDefault="00EE74EF" w:rsidP="00981FDC">
            <w:pPr>
              <w:ind w:firstLine="480"/>
              <w:jc w:val="center"/>
              <w:rPr>
                <w:rFonts w:ascii="Times New Roman" w:hAnsi="Times New Roman"/>
                <w:szCs w:val="21"/>
              </w:rPr>
            </w:pPr>
          </w:p>
        </w:tc>
        <w:tc>
          <w:tcPr>
            <w:tcW w:w="2229" w:type="dxa"/>
            <w:vMerge/>
            <w:vAlign w:val="center"/>
          </w:tcPr>
          <w:p w14:paraId="2D539E7D" w14:textId="77777777" w:rsidR="00EE74EF" w:rsidRDefault="00EE74EF" w:rsidP="00981FDC">
            <w:pPr>
              <w:ind w:firstLine="480"/>
              <w:jc w:val="center"/>
              <w:rPr>
                <w:rFonts w:ascii="Times New Roman" w:hAnsi="Times New Roman"/>
                <w:szCs w:val="21"/>
              </w:rPr>
            </w:pPr>
          </w:p>
        </w:tc>
        <w:tc>
          <w:tcPr>
            <w:tcW w:w="1143" w:type="dxa"/>
            <w:vAlign w:val="center"/>
          </w:tcPr>
          <w:p w14:paraId="7BF3E1D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981FDC">
        <w:trPr>
          <w:trHeight w:val="454"/>
          <w:jc w:val="center"/>
        </w:trPr>
        <w:tc>
          <w:tcPr>
            <w:tcW w:w="1243" w:type="dxa"/>
            <w:vMerge w:val="restart"/>
            <w:vAlign w:val="center"/>
          </w:tcPr>
          <w:p w14:paraId="742605EA" w14:textId="77777777" w:rsidR="00EE74EF" w:rsidRDefault="00EE74EF" w:rsidP="00981FDC">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981FDC">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981FDC">
        <w:trPr>
          <w:trHeight w:val="454"/>
          <w:jc w:val="center"/>
        </w:trPr>
        <w:tc>
          <w:tcPr>
            <w:tcW w:w="1243" w:type="dxa"/>
            <w:vMerge/>
            <w:vAlign w:val="center"/>
          </w:tcPr>
          <w:p w14:paraId="1233645B" w14:textId="77777777" w:rsidR="00EE74EF" w:rsidRDefault="00EE74EF" w:rsidP="00981FDC">
            <w:pPr>
              <w:ind w:firstLine="480"/>
              <w:jc w:val="center"/>
              <w:rPr>
                <w:rFonts w:ascii="Times New Roman" w:hAnsi="Times New Roman"/>
                <w:szCs w:val="21"/>
              </w:rPr>
            </w:pPr>
          </w:p>
        </w:tc>
        <w:tc>
          <w:tcPr>
            <w:tcW w:w="2229" w:type="dxa"/>
            <w:vAlign w:val="center"/>
          </w:tcPr>
          <w:p w14:paraId="589DB180" w14:textId="77777777" w:rsidR="00EE74EF" w:rsidRDefault="00EE74EF" w:rsidP="00981FDC">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981FDC">
        <w:trPr>
          <w:trHeight w:val="454"/>
          <w:jc w:val="center"/>
        </w:trPr>
        <w:tc>
          <w:tcPr>
            <w:tcW w:w="1243" w:type="dxa"/>
            <w:vMerge/>
            <w:vAlign w:val="center"/>
          </w:tcPr>
          <w:p w14:paraId="697ECDFD" w14:textId="77777777" w:rsidR="00EE74EF" w:rsidRDefault="00EE74EF" w:rsidP="00981FDC">
            <w:pPr>
              <w:ind w:firstLine="480"/>
              <w:jc w:val="center"/>
              <w:rPr>
                <w:rFonts w:ascii="Times New Roman" w:hAnsi="Times New Roman"/>
                <w:szCs w:val="21"/>
              </w:rPr>
            </w:pPr>
          </w:p>
        </w:tc>
        <w:tc>
          <w:tcPr>
            <w:tcW w:w="2229" w:type="dxa"/>
            <w:vAlign w:val="center"/>
          </w:tcPr>
          <w:p w14:paraId="40B1437E"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981FDC">
        <w:trPr>
          <w:trHeight w:val="454"/>
          <w:jc w:val="center"/>
        </w:trPr>
        <w:tc>
          <w:tcPr>
            <w:tcW w:w="1243" w:type="dxa"/>
            <w:vMerge/>
            <w:vAlign w:val="center"/>
          </w:tcPr>
          <w:p w14:paraId="56D5D519" w14:textId="77777777" w:rsidR="00EE74EF" w:rsidRDefault="00EE74EF" w:rsidP="00981FDC">
            <w:pPr>
              <w:ind w:firstLine="480"/>
              <w:jc w:val="center"/>
              <w:rPr>
                <w:rFonts w:ascii="Times New Roman" w:hAnsi="Times New Roman"/>
                <w:szCs w:val="21"/>
              </w:rPr>
            </w:pPr>
          </w:p>
        </w:tc>
        <w:tc>
          <w:tcPr>
            <w:tcW w:w="2229" w:type="dxa"/>
            <w:vAlign w:val="center"/>
          </w:tcPr>
          <w:p w14:paraId="645D0B9A"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981FDC">
        <w:trPr>
          <w:trHeight w:val="454"/>
          <w:jc w:val="center"/>
        </w:trPr>
        <w:tc>
          <w:tcPr>
            <w:tcW w:w="1243" w:type="dxa"/>
            <w:vMerge/>
            <w:vAlign w:val="center"/>
          </w:tcPr>
          <w:p w14:paraId="62B454BE" w14:textId="77777777" w:rsidR="00EE74EF" w:rsidRDefault="00EE74EF" w:rsidP="00981FDC">
            <w:pPr>
              <w:ind w:firstLine="480"/>
              <w:jc w:val="center"/>
              <w:rPr>
                <w:rFonts w:ascii="Times New Roman" w:hAnsi="Times New Roman"/>
                <w:szCs w:val="21"/>
              </w:rPr>
            </w:pPr>
          </w:p>
        </w:tc>
        <w:tc>
          <w:tcPr>
            <w:tcW w:w="2229" w:type="dxa"/>
            <w:vAlign w:val="center"/>
          </w:tcPr>
          <w:p w14:paraId="3B23EB9E" w14:textId="77777777" w:rsidR="00EE74EF" w:rsidRDefault="00EE74EF" w:rsidP="00981FDC">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981FDC">
        <w:trPr>
          <w:trHeight w:val="454"/>
          <w:jc w:val="center"/>
        </w:trPr>
        <w:tc>
          <w:tcPr>
            <w:tcW w:w="1243" w:type="dxa"/>
            <w:vMerge w:val="restart"/>
            <w:vAlign w:val="center"/>
          </w:tcPr>
          <w:p w14:paraId="01C41F06" w14:textId="77777777" w:rsidR="00EE74EF" w:rsidRDefault="00EE74EF" w:rsidP="00981FDC">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981FDC">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981FDC">
        <w:trPr>
          <w:trHeight w:val="454"/>
          <w:jc w:val="center"/>
        </w:trPr>
        <w:tc>
          <w:tcPr>
            <w:tcW w:w="1243" w:type="dxa"/>
            <w:vMerge/>
            <w:vAlign w:val="center"/>
          </w:tcPr>
          <w:p w14:paraId="273818E3" w14:textId="77777777" w:rsidR="00EE74EF" w:rsidRDefault="00EE74EF" w:rsidP="00981FDC">
            <w:pPr>
              <w:ind w:firstLine="480"/>
              <w:jc w:val="center"/>
              <w:rPr>
                <w:rFonts w:ascii="Times New Roman" w:hAnsi="Times New Roman"/>
                <w:szCs w:val="21"/>
              </w:rPr>
            </w:pPr>
          </w:p>
        </w:tc>
        <w:tc>
          <w:tcPr>
            <w:tcW w:w="2229" w:type="dxa"/>
            <w:vAlign w:val="center"/>
          </w:tcPr>
          <w:p w14:paraId="2E1F79AF" w14:textId="77777777" w:rsidR="00EE74EF" w:rsidRDefault="00EE74EF" w:rsidP="00981FDC">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981FDC">
        <w:trPr>
          <w:trHeight w:val="454"/>
          <w:jc w:val="center"/>
        </w:trPr>
        <w:tc>
          <w:tcPr>
            <w:tcW w:w="1243" w:type="dxa"/>
            <w:vMerge/>
            <w:vAlign w:val="center"/>
          </w:tcPr>
          <w:p w14:paraId="316D4CB3" w14:textId="77777777" w:rsidR="00EE74EF" w:rsidRDefault="00EE74EF" w:rsidP="00981FDC">
            <w:pPr>
              <w:ind w:firstLine="480"/>
              <w:jc w:val="center"/>
              <w:rPr>
                <w:rFonts w:ascii="Times New Roman" w:hAnsi="Times New Roman"/>
                <w:szCs w:val="21"/>
              </w:rPr>
            </w:pPr>
          </w:p>
        </w:tc>
        <w:tc>
          <w:tcPr>
            <w:tcW w:w="2229" w:type="dxa"/>
            <w:vAlign w:val="center"/>
          </w:tcPr>
          <w:p w14:paraId="49242EA4"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981FDC">
        <w:trPr>
          <w:trHeight w:val="454"/>
          <w:jc w:val="center"/>
        </w:trPr>
        <w:tc>
          <w:tcPr>
            <w:tcW w:w="1243" w:type="dxa"/>
            <w:vMerge/>
            <w:vAlign w:val="center"/>
          </w:tcPr>
          <w:p w14:paraId="2290B904" w14:textId="77777777" w:rsidR="00EE74EF" w:rsidRDefault="00EE74EF" w:rsidP="00981FDC">
            <w:pPr>
              <w:ind w:firstLine="480"/>
              <w:jc w:val="center"/>
              <w:rPr>
                <w:rFonts w:ascii="Times New Roman" w:hAnsi="Times New Roman"/>
                <w:szCs w:val="21"/>
              </w:rPr>
            </w:pPr>
          </w:p>
        </w:tc>
        <w:tc>
          <w:tcPr>
            <w:tcW w:w="2229" w:type="dxa"/>
            <w:vAlign w:val="center"/>
          </w:tcPr>
          <w:p w14:paraId="2516A3A6"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981FDC">
        <w:trPr>
          <w:trHeight w:val="454"/>
          <w:jc w:val="center"/>
        </w:trPr>
        <w:tc>
          <w:tcPr>
            <w:tcW w:w="1243" w:type="dxa"/>
            <w:vMerge/>
            <w:vAlign w:val="center"/>
          </w:tcPr>
          <w:p w14:paraId="2A6917A2" w14:textId="77777777" w:rsidR="00EE74EF" w:rsidRDefault="00EE74EF" w:rsidP="00981FDC">
            <w:pPr>
              <w:ind w:firstLine="480"/>
              <w:jc w:val="center"/>
              <w:rPr>
                <w:rFonts w:ascii="Times New Roman" w:hAnsi="Times New Roman"/>
                <w:szCs w:val="21"/>
              </w:rPr>
            </w:pPr>
          </w:p>
        </w:tc>
        <w:tc>
          <w:tcPr>
            <w:tcW w:w="2229" w:type="dxa"/>
            <w:vAlign w:val="center"/>
          </w:tcPr>
          <w:p w14:paraId="1CBC6A59" w14:textId="77777777" w:rsidR="00EE74EF" w:rsidRDefault="00EE74EF" w:rsidP="00981FDC">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034894E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981FDC">
        <w:trPr>
          <w:trHeight w:val="454"/>
          <w:jc w:val="center"/>
        </w:trPr>
        <w:tc>
          <w:tcPr>
            <w:tcW w:w="6778" w:type="dxa"/>
            <w:gridSpan w:val="5"/>
            <w:vAlign w:val="center"/>
          </w:tcPr>
          <w:p w14:paraId="70F76B5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p w14:paraId="040CB77A" w14:textId="1126FD48"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1FCF7EA6" w14:textId="76FB16F3" w:rsidR="00F62A59" w:rsidRPr="00F62A59" w:rsidRDefault="00F62A59" w:rsidP="00F62A59">
      <w:pPr>
        <w:ind w:left="289" w:firstLine="420"/>
      </w:pPr>
      <w:r>
        <w:rPr>
          <w:rFonts w:hint="eastAsia"/>
        </w:rPr>
        <w:t>本次</w:t>
      </w:r>
      <w:proofErr w:type="gramStart"/>
      <w:r>
        <w:rPr>
          <w:rFonts w:hint="eastAsia"/>
        </w:rPr>
        <w:t>测评未</w:t>
      </w:r>
      <w:proofErr w:type="gramEnd"/>
      <w:r>
        <w:rPr>
          <w:rFonts w:hint="eastAsia"/>
        </w:rPr>
        <w:t>涉及安全扩展要求指标。</w:t>
      </w:r>
    </w:p>
    <w:p w14:paraId="669494E2" w14:textId="3CD42E15" w:rsidR="00010760" w:rsidRDefault="00D1374C" w:rsidP="00ED4C1F">
      <w:pPr>
        <w:pStyle w:val="20"/>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43C9DC9D" w:rsidR="00965BD1"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32214CCD" w14:textId="763E8315" w:rsidR="00AA6E61" w:rsidRPr="00AA6E61" w:rsidRDefault="00AA6E61" w:rsidP="00AA6E61">
      <w:pPr>
        <w:pStyle w:val="fs-4-first-line-indent-2"/>
        <w:rPr>
          <w:rFonts w:ascii="宋体" w:eastAsia="宋体" w:hAnsi="宋体" w:hint="eastAsia"/>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AA6E61" w:rsidRPr="001F49D1" w14:paraId="114C4B91" w14:textId="77777777" w:rsidTr="00417FA1">
        <w:tc>
          <w:tcPr>
            <w:tcW w:w="1531" w:type="dxa"/>
            <w:tcBorders>
              <w:tl2br w:val="single" w:sz="4" w:space="0" w:color="auto"/>
            </w:tcBorders>
          </w:tcPr>
          <w:p w14:paraId="1987F8D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1062B81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363CE54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第一级</w:t>
            </w:r>
          </w:p>
        </w:tc>
        <w:tc>
          <w:tcPr>
            <w:tcW w:w="1721" w:type="dxa"/>
          </w:tcPr>
          <w:p w14:paraId="5933D07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第二级</w:t>
            </w:r>
          </w:p>
        </w:tc>
        <w:tc>
          <w:tcPr>
            <w:tcW w:w="1721" w:type="dxa"/>
          </w:tcPr>
          <w:p w14:paraId="33D16DF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第三级</w:t>
            </w:r>
          </w:p>
        </w:tc>
        <w:tc>
          <w:tcPr>
            <w:tcW w:w="1721" w:type="dxa"/>
          </w:tcPr>
          <w:p w14:paraId="0474D64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AA6E61" w:rsidRPr="001F49D1" w14:paraId="6BE03544" w14:textId="77777777" w:rsidTr="00417FA1">
        <w:tc>
          <w:tcPr>
            <w:tcW w:w="1531" w:type="dxa"/>
          </w:tcPr>
          <w:p w14:paraId="36FBA5E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机房</w:t>
            </w:r>
          </w:p>
        </w:tc>
        <w:tc>
          <w:tcPr>
            <w:tcW w:w="1924" w:type="dxa"/>
          </w:tcPr>
          <w:p w14:paraId="6F17AF6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tc>
        <w:tc>
          <w:tcPr>
            <w:tcW w:w="1721" w:type="dxa"/>
          </w:tcPr>
          <w:p w14:paraId="7AB02C19"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tc>
        <w:tc>
          <w:tcPr>
            <w:tcW w:w="1721" w:type="dxa"/>
          </w:tcPr>
          <w:p w14:paraId="5398B1B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p w14:paraId="23E5C1D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40496C0E"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p w14:paraId="5BC33BF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AA6E61" w:rsidRPr="001F49D1" w14:paraId="133689D7" w14:textId="77777777" w:rsidTr="00417FA1">
        <w:tc>
          <w:tcPr>
            <w:tcW w:w="1531" w:type="dxa"/>
          </w:tcPr>
          <w:p w14:paraId="136856E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24DBD19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20043B4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5D62560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208B1878" w14:textId="77777777" w:rsidR="00AA6E61" w:rsidRPr="00AE7767" w:rsidRDefault="00AA6E61" w:rsidP="00417FA1">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AA6E61" w:rsidRPr="001F49D1" w14:paraId="39DAE08B" w14:textId="77777777" w:rsidTr="00417FA1">
        <w:tc>
          <w:tcPr>
            <w:tcW w:w="1531" w:type="dxa"/>
          </w:tcPr>
          <w:p w14:paraId="2E52B33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lastRenderedPageBreak/>
              <w:t>办公</w:t>
            </w:r>
            <w:r w:rsidRPr="00AE7767">
              <w:rPr>
                <w:color w:val="auto"/>
                <w:sz w:val="21"/>
                <w:szCs w:val="21"/>
              </w:rPr>
              <w:t>场地</w:t>
            </w:r>
          </w:p>
        </w:tc>
        <w:tc>
          <w:tcPr>
            <w:tcW w:w="1924" w:type="dxa"/>
          </w:tcPr>
          <w:p w14:paraId="35B1B14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CEAAD0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1FD0D9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73FFDD5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AA6E61" w:rsidRPr="001F49D1" w14:paraId="5D4128BA" w14:textId="77777777" w:rsidTr="00417FA1">
        <w:tc>
          <w:tcPr>
            <w:tcW w:w="1531" w:type="dxa"/>
          </w:tcPr>
          <w:p w14:paraId="1CE5063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92D58E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7BB7A03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E89DD6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FEC10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AA6E61" w:rsidRPr="001F49D1" w14:paraId="6A195941" w14:textId="77777777" w:rsidTr="00417FA1">
        <w:tc>
          <w:tcPr>
            <w:tcW w:w="1531" w:type="dxa"/>
          </w:tcPr>
          <w:p w14:paraId="27C43DF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E89F0C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7CE6665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2DF1215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16984199"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AA6E61" w:rsidRPr="001F49D1" w14:paraId="42EDBFDA" w14:textId="77777777" w:rsidTr="00417FA1">
        <w:tc>
          <w:tcPr>
            <w:tcW w:w="1531" w:type="dxa"/>
          </w:tcPr>
          <w:p w14:paraId="6982082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3C807FF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28B9E380"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7E5964E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46804BEE"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AA6E61" w:rsidRPr="001F49D1" w14:paraId="190023AA" w14:textId="77777777" w:rsidTr="00417FA1">
        <w:tc>
          <w:tcPr>
            <w:tcW w:w="1531" w:type="dxa"/>
          </w:tcPr>
          <w:p w14:paraId="35E5F89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527EB65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6226CAC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053E089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37DC499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AA6E61" w:rsidRPr="001F49D1" w14:paraId="70C14611" w14:textId="77777777" w:rsidTr="00417FA1">
        <w:tc>
          <w:tcPr>
            <w:tcW w:w="1531" w:type="dxa"/>
          </w:tcPr>
          <w:p w14:paraId="3564E34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w:t>
            </w:r>
          </w:p>
        </w:tc>
        <w:tc>
          <w:tcPr>
            <w:tcW w:w="1924" w:type="dxa"/>
          </w:tcPr>
          <w:p w14:paraId="7A6F452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19BCAB6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76087E2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3EDBD7E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12F5EAE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管理终端</w:t>
            </w:r>
          </w:p>
          <w:p w14:paraId="7F420FD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2466761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09CDE345" w14:textId="77777777" w:rsidR="00AA6E61" w:rsidRPr="00AE7767" w:rsidRDefault="00AA6E61" w:rsidP="00417FA1">
            <w:pPr>
              <w:pStyle w:val="2"/>
              <w:numPr>
                <w:ilvl w:val="0"/>
                <w:numId w:val="0"/>
              </w:numPr>
              <w:rPr>
                <w:color w:val="auto"/>
                <w:sz w:val="21"/>
                <w:szCs w:val="21"/>
              </w:rPr>
            </w:pPr>
            <w:r w:rsidRPr="00AE7767">
              <w:rPr>
                <w:color w:val="auto"/>
                <w:sz w:val="21"/>
                <w:szCs w:val="21"/>
              </w:rPr>
              <w:t>管理终端</w:t>
            </w:r>
          </w:p>
          <w:p w14:paraId="3A94926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AA6E61" w:rsidRPr="001F49D1" w14:paraId="1C1D54D3" w14:textId="77777777" w:rsidTr="00417FA1">
        <w:tc>
          <w:tcPr>
            <w:tcW w:w="1531" w:type="dxa"/>
          </w:tcPr>
          <w:p w14:paraId="41A9F369"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2FEBD91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05F407F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7DE1986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52A121F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0AA15D3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6B83032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AA6E61" w:rsidRPr="001F49D1" w14:paraId="41572D51" w14:textId="77777777" w:rsidTr="00417FA1">
        <w:tc>
          <w:tcPr>
            <w:tcW w:w="1531" w:type="dxa"/>
          </w:tcPr>
          <w:p w14:paraId="2C4BF22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7895914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1CF3BCE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4DA25E2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6902EA8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2FEB967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7BF7CB6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6C4465B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16FF428D"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9A8D4B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3CF4705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088715A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AA6E61" w:rsidRPr="001F49D1" w14:paraId="27E6701D" w14:textId="77777777" w:rsidTr="00417FA1">
        <w:tc>
          <w:tcPr>
            <w:tcW w:w="1531" w:type="dxa"/>
          </w:tcPr>
          <w:p w14:paraId="4872615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670DAD3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12BBB41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45F868F0"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65DE9AD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AA6E61" w:rsidRPr="001F49D1" w14:paraId="00AA8408" w14:textId="77777777" w:rsidTr="00417FA1">
        <w:tc>
          <w:tcPr>
            <w:tcW w:w="1531" w:type="dxa"/>
          </w:tcPr>
          <w:p w14:paraId="4E67CBB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7F00359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46153F4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38290A5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197D8D8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AF946AE" w14:textId="77777777" w:rsidR="00AA6E61" w:rsidRPr="000D7FA2" w:rsidRDefault="00AA6E61" w:rsidP="00965BD1">
      <w:pPr>
        <w:pStyle w:val="fs-4-first-line-indent-2"/>
        <w:rPr>
          <w:rFonts w:ascii="宋体" w:eastAsia="宋体" w:hAnsi="宋体" w:hint="eastAsia"/>
        </w:rPr>
      </w:pP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0"/>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F62A59" w:rsidRDefault="00611792">
            <w:pPr>
              <w:spacing w:line="300" w:lineRule="auto"/>
              <w:jc w:val="center"/>
              <w:rPr>
                <w:rFonts w:ascii="宋体" w:hAnsi="宋体"/>
                <w:color w:val="FF0000"/>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F62A59" w:rsidRDefault="00611792">
            <w:pPr>
              <w:spacing w:line="300" w:lineRule="auto"/>
              <w:jc w:val="center"/>
              <w:rPr>
                <w:rFonts w:ascii="宋体" w:hAnsi="宋体" w:cs="宋体"/>
                <w:color w:val="FF0000"/>
                <w:kern w:val="0"/>
                <w:szCs w:val="21"/>
              </w:rPr>
            </w:pPr>
            <w:r w:rsidRPr="00F62A59">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3179A62"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F62A59">
              <w:rPr>
                <w:rFonts w:ascii="宋体" w:hAnsi="宋体" w:cs="宋体" w:hint="eastAsia"/>
                <w:kern w:val="0"/>
                <w:szCs w:val="21"/>
              </w:rPr>
              <w:t>应用系统</w:t>
            </w:r>
            <w:r>
              <w:rPr>
                <w:rFonts w:ascii="宋体" w:hAnsi="宋体" w:cs="宋体" w:hint="eastAsia"/>
                <w:kern w:val="0"/>
                <w:szCs w:val="21"/>
              </w:rPr>
              <w:t>进行</w:t>
            </w:r>
            <w:r w:rsidRPr="00F62A59">
              <w:rPr>
                <w:rFonts w:ascii="宋体" w:hAnsi="宋体" w:cs="宋体" w:hint="eastAsia"/>
                <w:color w:val="FF0000"/>
                <w:kern w:val="0"/>
                <w:szCs w:val="21"/>
              </w:rPr>
              <w:t>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0"/>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0"/>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2479ED28"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F62A59" w14:paraId="7121DDB9" w14:textId="77777777" w:rsidTr="00580622">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A80126A" w14:textId="77777777" w:rsidR="00F62A59" w:rsidRDefault="00F62A59" w:rsidP="00580622">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7E4F40B9" w14:textId="77777777" w:rsidR="00F62A59" w:rsidRDefault="00F62A59" w:rsidP="00580622">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4172FFB4" w14:textId="77777777" w:rsidR="00F62A59" w:rsidRDefault="00F62A59" w:rsidP="00580622">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73C87806" w14:textId="77777777" w:rsidR="00F62A59" w:rsidRDefault="00F62A59" w:rsidP="00580622">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B18400" w14:textId="77777777" w:rsidR="00F62A59" w:rsidRDefault="00F62A59" w:rsidP="00580622">
            <w:pPr>
              <w:widowControl/>
              <w:spacing w:line="300" w:lineRule="auto"/>
              <w:jc w:val="center"/>
              <w:rPr>
                <w:b/>
                <w:bCs/>
                <w:kern w:val="0"/>
              </w:rPr>
            </w:pPr>
            <w:r>
              <w:rPr>
                <w:rFonts w:hint="eastAsia"/>
                <w:b/>
                <w:bCs/>
                <w:kern w:val="0"/>
              </w:rPr>
              <w:t>漏洞库版本</w:t>
            </w:r>
          </w:p>
        </w:tc>
      </w:tr>
      <w:tr w:rsidR="00F62A59" w14:paraId="30480D43"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B43E770"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7127673"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5A56ED8C"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53E3F08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A8FF8C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14.3.210628104</w:t>
            </w:r>
          </w:p>
        </w:tc>
      </w:tr>
      <w:tr w:rsidR="00F62A59" w14:paraId="6EF76677"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7319FCD"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5CC5ADC" w14:textId="77777777" w:rsidR="00F62A59" w:rsidRDefault="00F62A59" w:rsidP="00580622">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2BC6662A" w14:textId="77777777" w:rsidR="00F62A59" w:rsidRDefault="00F62A59" w:rsidP="00580622">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54A349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3AD0952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202107020132</w:t>
            </w:r>
          </w:p>
        </w:tc>
      </w:tr>
      <w:tr w:rsidR="00F62A59" w14:paraId="02302228"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2422C6E3"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534BC6B" w14:textId="77777777" w:rsidR="00F62A59" w:rsidRDefault="00F62A59" w:rsidP="00580622">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332D396D" w14:textId="77777777" w:rsidR="00F62A59" w:rsidRDefault="00F62A59" w:rsidP="00580622">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900DB4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0E9BE23"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V6.0R02F01.2400</w:t>
            </w:r>
          </w:p>
        </w:tc>
      </w:tr>
      <w:tr w:rsidR="00F62A59" w14:paraId="11C967DC"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B9AF90E"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53513B1F"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6E55E519" w14:textId="77777777" w:rsidR="00F62A59" w:rsidRDefault="00F62A59" w:rsidP="00580622">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042E09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50B02D5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V6.1.115</w:t>
            </w:r>
          </w:p>
        </w:tc>
      </w:tr>
      <w:tr w:rsidR="00F62A59" w14:paraId="13EB48CB"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6A22E4C"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D70F79"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43796428"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23042C26"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721E6A92"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0"/>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660852B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86751"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5050A9"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3531C" w14:textId="77777777" w:rsidR="00B128B6" w:rsidRPr="00C91F48" w:rsidRDefault="00B128B6" w:rsidP="002A0CE4">
            <w:pPr>
              <w:jc w:val="center"/>
              <w:rPr>
                <w:b/>
                <w:szCs w:val="21"/>
              </w:rPr>
            </w:pPr>
            <w:r w:rsidRPr="00C91F48">
              <w:rPr>
                <w:b/>
                <w:szCs w:val="21"/>
              </w:rPr>
              <w:t>测评指标描述</w:t>
            </w:r>
          </w:p>
        </w:tc>
      </w:tr>
      <w:tr w:rsidR="00B128B6" w14:paraId="5730063B" w14:textId="77777777" w:rsidTr="002A0CE4">
        <w:trPr>
          <w:jc w:val="center"/>
        </w:trPr>
        <w:tc>
          <w:tcPr>
            <w:tcW w:w="906" w:type="dxa"/>
            <w:noWrap/>
            <w:vAlign w:val="center"/>
            <w:hideMark/>
          </w:tcPr>
          <w:p w14:paraId="6859B5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5483C8FB"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5EC2186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B128B6" w14:paraId="5EC815CA" w14:textId="77777777" w:rsidTr="002A0CE4">
        <w:trPr>
          <w:jc w:val="center"/>
        </w:trPr>
        <w:tc>
          <w:tcPr>
            <w:tcW w:w="906" w:type="dxa"/>
            <w:noWrap/>
            <w:vAlign w:val="center"/>
            <w:hideMark/>
          </w:tcPr>
          <w:p w14:paraId="686BF034"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FEAF4E1" w14:textId="77777777" w:rsidR="00B128B6" w:rsidRDefault="00B128B6" w:rsidP="002A0CE4">
            <w:pPr>
              <w:jc w:val="center"/>
              <w:rPr>
                <w:rFonts w:ascii="华文仿宋" w:hAnsi="华文仿宋"/>
                <w:szCs w:val="21"/>
              </w:rPr>
            </w:pPr>
          </w:p>
        </w:tc>
        <w:tc>
          <w:tcPr>
            <w:tcW w:w="6290" w:type="dxa"/>
            <w:noWrap/>
            <w:hideMark/>
          </w:tcPr>
          <w:p w14:paraId="43C10420"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B128B6" w14:paraId="5186C0C5" w14:textId="77777777" w:rsidTr="002A0CE4">
        <w:trPr>
          <w:jc w:val="center"/>
        </w:trPr>
        <w:tc>
          <w:tcPr>
            <w:tcW w:w="906" w:type="dxa"/>
            <w:noWrap/>
            <w:vAlign w:val="center"/>
            <w:hideMark/>
          </w:tcPr>
          <w:p w14:paraId="3CF8E23D" w14:textId="77777777" w:rsidR="00B128B6" w:rsidRDefault="00B128B6" w:rsidP="002A0CE4">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30C21AB"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737458FC"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B128B6" w14:paraId="7F8ED493" w14:textId="77777777" w:rsidTr="002A0CE4">
        <w:trPr>
          <w:jc w:val="center"/>
        </w:trPr>
        <w:tc>
          <w:tcPr>
            <w:tcW w:w="906" w:type="dxa"/>
            <w:noWrap/>
            <w:vAlign w:val="center"/>
            <w:hideMark/>
          </w:tcPr>
          <w:p w14:paraId="399E1DE8" w14:textId="77777777" w:rsidR="00B128B6" w:rsidRDefault="00B128B6" w:rsidP="002A0CE4">
            <w:pPr>
              <w:jc w:val="center"/>
              <w:rPr>
                <w:rFonts w:ascii="华文仿宋" w:hAnsi="华文仿宋"/>
                <w:szCs w:val="21"/>
              </w:rPr>
            </w:pPr>
            <w:r>
              <w:rPr>
                <w:rFonts w:ascii="华文仿宋" w:hAnsi="华文仿宋" w:hint="eastAsia"/>
                <w:color w:val="000000"/>
                <w:szCs w:val="21"/>
              </w:rPr>
              <w:lastRenderedPageBreak/>
              <w:t>4</w:t>
            </w:r>
          </w:p>
        </w:tc>
        <w:tc>
          <w:tcPr>
            <w:tcW w:w="1985" w:type="dxa"/>
            <w:vMerge/>
            <w:noWrap/>
            <w:vAlign w:val="center"/>
            <w:hideMark/>
          </w:tcPr>
          <w:p w14:paraId="01EE2D0B" w14:textId="77777777" w:rsidR="00B128B6" w:rsidRDefault="00B128B6" w:rsidP="002A0CE4">
            <w:pPr>
              <w:jc w:val="center"/>
              <w:rPr>
                <w:rFonts w:ascii="华文仿宋" w:hAnsi="华文仿宋"/>
                <w:szCs w:val="21"/>
              </w:rPr>
            </w:pPr>
          </w:p>
        </w:tc>
        <w:tc>
          <w:tcPr>
            <w:tcW w:w="6290" w:type="dxa"/>
            <w:noWrap/>
            <w:hideMark/>
          </w:tcPr>
          <w:p w14:paraId="2942B7B8" w14:textId="77777777" w:rsidR="00B128B6" w:rsidRDefault="00B128B6" w:rsidP="002A0CE4">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B128B6" w14:paraId="2F7158A8" w14:textId="77777777" w:rsidTr="002A0CE4">
        <w:trPr>
          <w:jc w:val="center"/>
        </w:trPr>
        <w:tc>
          <w:tcPr>
            <w:tcW w:w="906" w:type="dxa"/>
            <w:noWrap/>
            <w:vAlign w:val="center"/>
            <w:hideMark/>
          </w:tcPr>
          <w:p w14:paraId="257E0E3B" w14:textId="77777777" w:rsidR="00B128B6" w:rsidRDefault="00B128B6" w:rsidP="002A0CE4">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6FF4A69A"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17A8527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B128B6" w14:paraId="39EBC97A" w14:textId="77777777" w:rsidTr="002A0CE4">
        <w:trPr>
          <w:jc w:val="center"/>
        </w:trPr>
        <w:tc>
          <w:tcPr>
            <w:tcW w:w="906" w:type="dxa"/>
            <w:noWrap/>
            <w:vAlign w:val="center"/>
            <w:hideMark/>
          </w:tcPr>
          <w:p w14:paraId="2A62F74E" w14:textId="77777777" w:rsidR="00B128B6" w:rsidRDefault="00B128B6" w:rsidP="002A0CE4">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31B62FBF" w14:textId="77777777" w:rsidR="00B128B6" w:rsidRDefault="00B128B6" w:rsidP="002A0CE4">
            <w:pPr>
              <w:jc w:val="center"/>
              <w:rPr>
                <w:rFonts w:ascii="华文仿宋" w:hAnsi="华文仿宋"/>
                <w:szCs w:val="21"/>
              </w:rPr>
            </w:pPr>
          </w:p>
        </w:tc>
        <w:tc>
          <w:tcPr>
            <w:tcW w:w="6290" w:type="dxa"/>
            <w:noWrap/>
            <w:hideMark/>
          </w:tcPr>
          <w:p w14:paraId="35528602"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）应将通信线缆铺设在隐蔽安全处。</w:t>
            </w:r>
          </w:p>
        </w:tc>
      </w:tr>
      <w:tr w:rsidR="00B128B6" w14:paraId="6A06AD77" w14:textId="77777777" w:rsidTr="002A0CE4">
        <w:trPr>
          <w:jc w:val="center"/>
        </w:trPr>
        <w:tc>
          <w:tcPr>
            <w:tcW w:w="906" w:type="dxa"/>
            <w:noWrap/>
            <w:vAlign w:val="center"/>
            <w:hideMark/>
          </w:tcPr>
          <w:p w14:paraId="259D237D" w14:textId="77777777" w:rsidR="00B128B6" w:rsidRDefault="00B128B6" w:rsidP="002A0CE4">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186747E8" w14:textId="77777777" w:rsidR="00B128B6" w:rsidRDefault="00B128B6" w:rsidP="002A0CE4">
            <w:pPr>
              <w:jc w:val="center"/>
              <w:rPr>
                <w:rFonts w:ascii="华文仿宋" w:hAnsi="华文仿宋"/>
                <w:szCs w:val="21"/>
              </w:rPr>
            </w:pPr>
          </w:p>
        </w:tc>
        <w:tc>
          <w:tcPr>
            <w:tcW w:w="6290" w:type="dxa"/>
            <w:noWrap/>
            <w:hideMark/>
          </w:tcPr>
          <w:p w14:paraId="4D3E4C6C" w14:textId="77777777" w:rsidR="00B128B6" w:rsidRDefault="00B128B6" w:rsidP="002A0CE4">
            <w:pPr>
              <w:jc w:val="left"/>
              <w:rPr>
                <w:rFonts w:ascii="华文仿宋" w:hAnsi="华文仿宋"/>
                <w:szCs w:val="21"/>
              </w:rPr>
            </w:pPr>
            <w:r w:rsidRPr="002C4D44">
              <w:rPr>
                <w:rFonts w:hint="eastAsia"/>
              </w:rPr>
              <w:t>c</w:t>
            </w:r>
            <w:r w:rsidRPr="002C4D44">
              <w:rPr>
                <w:rFonts w:hint="eastAsia"/>
              </w:rPr>
              <w:t>）应建立机房视频监控系统</w:t>
            </w:r>
            <w:proofErr w:type="gramStart"/>
            <w:r w:rsidRPr="002C4D44">
              <w:rPr>
                <w:rFonts w:hint="eastAsia"/>
              </w:rPr>
              <w:t>和动环监控系统</w:t>
            </w:r>
            <w:proofErr w:type="gramEnd"/>
            <w:r w:rsidRPr="002C4D44">
              <w:rPr>
                <w:rFonts w:hint="eastAsia"/>
              </w:rPr>
              <w:t>，对机房风冷水电设备、消防设施、门禁系统等重要设施实行全面监控，视频监控记录和门禁系统出入记录至少保存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B128B6" w14:paraId="3669F18A" w14:textId="77777777" w:rsidTr="002A0CE4">
        <w:trPr>
          <w:jc w:val="center"/>
        </w:trPr>
        <w:tc>
          <w:tcPr>
            <w:tcW w:w="906" w:type="dxa"/>
            <w:noWrap/>
            <w:vAlign w:val="center"/>
            <w:hideMark/>
          </w:tcPr>
          <w:p w14:paraId="1D398D18" w14:textId="77777777" w:rsidR="00B128B6" w:rsidRDefault="00B128B6" w:rsidP="002A0CE4">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43E6838C"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7D5163AD"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B128B6" w14:paraId="140C76F0" w14:textId="77777777" w:rsidTr="002A0CE4">
        <w:trPr>
          <w:jc w:val="center"/>
        </w:trPr>
        <w:tc>
          <w:tcPr>
            <w:tcW w:w="906" w:type="dxa"/>
            <w:noWrap/>
            <w:vAlign w:val="center"/>
            <w:hideMark/>
          </w:tcPr>
          <w:p w14:paraId="1964013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2C8E8846"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730EA63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B128B6" w14:paraId="46F46922" w14:textId="77777777" w:rsidTr="002A0CE4">
        <w:trPr>
          <w:jc w:val="center"/>
        </w:trPr>
        <w:tc>
          <w:tcPr>
            <w:tcW w:w="906" w:type="dxa"/>
            <w:noWrap/>
            <w:vAlign w:val="center"/>
            <w:hideMark/>
          </w:tcPr>
          <w:p w14:paraId="3D3B8392"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985" w:type="dxa"/>
            <w:vMerge/>
            <w:noWrap/>
            <w:vAlign w:val="center"/>
            <w:hideMark/>
          </w:tcPr>
          <w:p w14:paraId="2F333C3A" w14:textId="77777777" w:rsidR="00B128B6" w:rsidRDefault="00B128B6" w:rsidP="002A0CE4">
            <w:pPr>
              <w:jc w:val="center"/>
              <w:rPr>
                <w:rFonts w:ascii="华文仿宋" w:hAnsi="华文仿宋"/>
                <w:szCs w:val="21"/>
              </w:rPr>
            </w:pPr>
          </w:p>
        </w:tc>
        <w:tc>
          <w:tcPr>
            <w:tcW w:w="6290" w:type="dxa"/>
            <w:noWrap/>
            <w:hideMark/>
          </w:tcPr>
          <w:p w14:paraId="5B9A3BC9"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B128B6" w14:paraId="5DD4EA94" w14:textId="77777777" w:rsidTr="002A0CE4">
        <w:trPr>
          <w:jc w:val="center"/>
        </w:trPr>
        <w:tc>
          <w:tcPr>
            <w:tcW w:w="906" w:type="dxa"/>
            <w:noWrap/>
            <w:vAlign w:val="center"/>
            <w:hideMark/>
          </w:tcPr>
          <w:p w14:paraId="2972126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18388CC1" w14:textId="77777777" w:rsidR="00B128B6" w:rsidRDefault="00B128B6" w:rsidP="002A0CE4">
            <w:pPr>
              <w:jc w:val="center"/>
              <w:rPr>
                <w:rFonts w:ascii="华文仿宋" w:hAnsi="华文仿宋"/>
                <w:szCs w:val="21"/>
              </w:rPr>
            </w:pPr>
          </w:p>
        </w:tc>
        <w:tc>
          <w:tcPr>
            <w:tcW w:w="6290" w:type="dxa"/>
            <w:noWrap/>
            <w:hideMark/>
          </w:tcPr>
          <w:p w14:paraId="4C7C7658"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B128B6" w14:paraId="2308F859" w14:textId="77777777" w:rsidTr="002A0CE4">
        <w:trPr>
          <w:jc w:val="center"/>
        </w:trPr>
        <w:tc>
          <w:tcPr>
            <w:tcW w:w="906" w:type="dxa"/>
            <w:noWrap/>
            <w:vAlign w:val="center"/>
            <w:hideMark/>
          </w:tcPr>
          <w:p w14:paraId="4C381D1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1FC0AF5C" w14:textId="77777777" w:rsidR="00B128B6" w:rsidRDefault="00B128B6" w:rsidP="002A0CE4">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3E141225"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B128B6" w14:paraId="41EB6C34" w14:textId="77777777" w:rsidTr="002A0CE4">
        <w:trPr>
          <w:jc w:val="center"/>
        </w:trPr>
        <w:tc>
          <w:tcPr>
            <w:tcW w:w="906" w:type="dxa"/>
            <w:noWrap/>
            <w:vAlign w:val="center"/>
            <w:hideMark/>
          </w:tcPr>
          <w:p w14:paraId="2A2C3F2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7E80A12C" w14:textId="77777777" w:rsidR="00B128B6" w:rsidRDefault="00B128B6" w:rsidP="002A0CE4">
            <w:pPr>
              <w:jc w:val="center"/>
              <w:rPr>
                <w:rFonts w:ascii="华文仿宋" w:hAnsi="华文仿宋"/>
                <w:szCs w:val="21"/>
              </w:rPr>
            </w:pPr>
          </w:p>
        </w:tc>
        <w:tc>
          <w:tcPr>
            <w:tcW w:w="6290" w:type="dxa"/>
            <w:noWrap/>
            <w:hideMark/>
          </w:tcPr>
          <w:p w14:paraId="27B4108B"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B128B6" w14:paraId="7322557B" w14:textId="77777777" w:rsidTr="002A0CE4">
        <w:trPr>
          <w:jc w:val="center"/>
        </w:trPr>
        <w:tc>
          <w:tcPr>
            <w:tcW w:w="906" w:type="dxa"/>
            <w:noWrap/>
            <w:vAlign w:val="center"/>
            <w:hideMark/>
          </w:tcPr>
          <w:p w14:paraId="7FA2DA35"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259A22DC"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2538124A"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B128B6" w14:paraId="1A7F3A3C" w14:textId="77777777" w:rsidTr="002A0CE4">
        <w:trPr>
          <w:jc w:val="center"/>
        </w:trPr>
        <w:tc>
          <w:tcPr>
            <w:tcW w:w="906" w:type="dxa"/>
            <w:noWrap/>
            <w:vAlign w:val="center"/>
            <w:hideMark/>
          </w:tcPr>
          <w:p w14:paraId="07363D28"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46D4E98B"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7110544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B128B6" w14:paraId="319DF99C" w14:textId="77777777" w:rsidTr="002A0CE4">
        <w:trPr>
          <w:jc w:val="center"/>
        </w:trPr>
        <w:tc>
          <w:tcPr>
            <w:tcW w:w="906" w:type="dxa"/>
            <w:noWrap/>
            <w:vAlign w:val="center"/>
            <w:hideMark/>
          </w:tcPr>
          <w:p w14:paraId="1DE9DA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2F5EFECA"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6A614B98"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B128B6" w14:paraId="6CFD24C5" w14:textId="77777777" w:rsidTr="002A0CE4">
        <w:trPr>
          <w:jc w:val="center"/>
        </w:trPr>
        <w:tc>
          <w:tcPr>
            <w:tcW w:w="906" w:type="dxa"/>
            <w:noWrap/>
            <w:vAlign w:val="center"/>
            <w:hideMark/>
          </w:tcPr>
          <w:p w14:paraId="147DA506" w14:textId="77777777" w:rsidR="00B128B6" w:rsidRDefault="00B128B6" w:rsidP="002A0CE4">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3330985E" w14:textId="77777777" w:rsidR="00B128B6" w:rsidRDefault="00B128B6" w:rsidP="002A0CE4">
            <w:pPr>
              <w:jc w:val="center"/>
              <w:rPr>
                <w:rFonts w:ascii="华文仿宋" w:hAnsi="华文仿宋"/>
                <w:szCs w:val="21"/>
              </w:rPr>
            </w:pPr>
          </w:p>
        </w:tc>
        <w:tc>
          <w:tcPr>
            <w:tcW w:w="6290" w:type="dxa"/>
            <w:noWrap/>
            <w:hideMark/>
          </w:tcPr>
          <w:p w14:paraId="6A522909"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B128B6" w14:paraId="6F9CD8CE" w14:textId="77777777" w:rsidTr="002A0CE4">
        <w:trPr>
          <w:jc w:val="center"/>
        </w:trPr>
        <w:tc>
          <w:tcPr>
            <w:tcW w:w="906" w:type="dxa"/>
            <w:noWrap/>
            <w:vAlign w:val="center"/>
            <w:hideMark/>
          </w:tcPr>
          <w:p w14:paraId="467885FD" w14:textId="77777777" w:rsidR="00B128B6" w:rsidRDefault="00B128B6" w:rsidP="002A0CE4">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8B90E75" w14:textId="77777777" w:rsidR="00B128B6" w:rsidRDefault="00B128B6" w:rsidP="002A0CE4">
            <w:pPr>
              <w:jc w:val="center"/>
              <w:rPr>
                <w:rFonts w:ascii="华文仿宋" w:hAnsi="华文仿宋"/>
                <w:szCs w:val="21"/>
              </w:rPr>
            </w:pPr>
          </w:p>
        </w:tc>
        <w:tc>
          <w:tcPr>
            <w:tcW w:w="6290" w:type="dxa"/>
            <w:noWrap/>
            <w:hideMark/>
          </w:tcPr>
          <w:p w14:paraId="0E6C664A"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B128B6" w14:paraId="5BB5E1E4" w14:textId="77777777" w:rsidTr="002A0CE4">
        <w:trPr>
          <w:jc w:val="center"/>
        </w:trPr>
        <w:tc>
          <w:tcPr>
            <w:tcW w:w="906" w:type="dxa"/>
            <w:noWrap/>
            <w:vAlign w:val="center"/>
            <w:hideMark/>
          </w:tcPr>
          <w:p w14:paraId="6F365251" w14:textId="77777777" w:rsidR="00B128B6" w:rsidRDefault="00B128B6" w:rsidP="002A0CE4">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1200D475"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44E336B0" w14:textId="77777777" w:rsidR="00B128B6" w:rsidRDefault="00B128B6" w:rsidP="002A0CE4">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6BA7CD81" w14:textId="77777777" w:rsidR="00B128B6" w:rsidRPr="00F7450B" w:rsidRDefault="00B128B6" w:rsidP="00B128B6"/>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w:t>
      </w:r>
      <w:r>
        <w:rPr>
          <w:sz w:val="24"/>
          <w:szCs w:val="24"/>
        </w:rPr>
        <w:lastRenderedPageBreak/>
        <w:t>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bookmarkStart w:id="72" w:name="_Toc367280144"/>
            <w:bookmarkStart w:id="73" w:name="_Toc28939611"/>
            <w:bookmarkStart w:id="74" w:name="_Toc34219788"/>
            <w:r w:rsidRPr="00C91F48">
              <w:rPr>
                <w:b/>
                <w:szCs w:val="21"/>
              </w:rPr>
              <w:t>序号</w:t>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proofErr w:type="gramStart"/>
            <w:r w:rsidRPr="00C91F48">
              <w:rPr>
                <w:b/>
                <w:szCs w:val="21"/>
              </w:rPr>
              <w:t>安全子</w:t>
            </w:r>
            <w:proofErr w:type="gramEnd"/>
            <w:r w:rsidRPr="00C91F48">
              <w:rPr>
                <w:b/>
                <w:szCs w:val="21"/>
              </w:rPr>
              <w:t>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rsidP="001608E7">
      <w:pPr>
        <w:pStyle w:val="4"/>
        <w:numPr>
          <w:ilvl w:val="3"/>
          <w:numId w:val="48"/>
        </w:numPr>
      </w:pPr>
      <w:r>
        <w:lastRenderedPageBreak/>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981FDC">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）应保证跨越边界的访问和数据流通过边界设备提供的受控接口进行通信。</w:t>
            </w:r>
          </w:p>
        </w:tc>
      </w:tr>
      <w:tr w:rsidR="00906941" w14:paraId="52882551" w14:textId="77777777" w:rsidTr="00981FDC">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981FDC">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981FDC">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981FDC">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981FDC">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981FDC">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981FDC">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981FDC">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）应在网络边界、重要网络节点进行安全审计，审计覆盖到每个用户，对重要的用户行为和重要安全事件进行审计。</w:t>
            </w:r>
          </w:p>
        </w:tc>
      </w:tr>
      <w:tr w:rsidR="00906941" w14:paraId="15837E60" w14:textId="77777777" w:rsidTr="00981FDC">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981FDC">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981FDC">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r w:rsidRPr="00C91F48">
              <w:rPr>
                <w:b/>
                <w:szCs w:val="21"/>
              </w:rPr>
              <w:t>序号</w:t>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proofErr w:type="gramStart"/>
            <w:r w:rsidRPr="00C91F48">
              <w:rPr>
                <w:b/>
                <w:szCs w:val="21"/>
              </w:rPr>
              <w:t>安全子</w:t>
            </w:r>
            <w:proofErr w:type="gramEnd"/>
            <w:r w:rsidRPr="00C91F48">
              <w:rPr>
                <w:b/>
                <w:szCs w:val="21"/>
              </w:rPr>
              <w:t>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981F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981F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981F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981F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981F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981F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981F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981F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981F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981F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981F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981F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981F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981F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981F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981F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981F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981F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981F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981F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981F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981F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981F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981F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981F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981F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981F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981FDC">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t>F2</w:t>
            </w:r>
            <w:r w:rsidRPr="00D112B6">
              <w:rPr>
                <w:rFonts w:hint="eastAsia"/>
              </w:rPr>
              <w:t>）</w:t>
            </w:r>
          </w:p>
        </w:tc>
      </w:tr>
      <w:tr w:rsidR="00906941" w14:paraId="4486FFA2" w14:textId="77777777" w:rsidTr="00981FDC">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981FDC">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981FDC">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981FDC">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981FDC">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981FDC">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lastRenderedPageBreak/>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981FDC">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981FDC">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981FDC">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981FDC">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lastRenderedPageBreak/>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981FDC">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w:t>
            </w:r>
            <w:proofErr w:type="gramStart"/>
            <w:r w:rsidRPr="00252B09">
              <w:rPr>
                <w:rFonts w:hint="eastAsia"/>
              </w:rPr>
              <w:t>定网络</w:t>
            </w:r>
            <w:proofErr w:type="gramEnd"/>
            <w:r w:rsidRPr="00252B09">
              <w:rPr>
                <w:rFonts w:hint="eastAsia"/>
              </w:rPr>
              <w:t>安全工作的总体方针和安全策略，阐明机构安全工作的总体目标、范围、原则和安全框架等。</w:t>
            </w:r>
          </w:p>
        </w:tc>
      </w:tr>
      <w:tr w:rsidR="00906941" w14:paraId="4358F029" w14:textId="77777777" w:rsidTr="00981FDC">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981FDC">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981FDC">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w:t>
            </w:r>
            <w:proofErr w:type="gramStart"/>
            <w:r w:rsidRPr="00252B09">
              <w:rPr>
                <w:rFonts w:hint="eastAsia"/>
              </w:rPr>
              <w:t>全机构</w:t>
            </w:r>
            <w:proofErr w:type="gramEnd"/>
            <w:r w:rsidRPr="00252B09">
              <w:rPr>
                <w:rFonts w:hint="eastAsia"/>
              </w:rPr>
              <w:t>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981FDC">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981FDC">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981FDC">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lastRenderedPageBreak/>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54" w:name="_Toc367280152"/>
            <w:bookmarkStart w:id="155" w:name="_Toc28939631"/>
            <w:bookmarkStart w:id="156" w:name="_Toc34219808"/>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81FDC">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81FDC">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w:t>
            </w:r>
            <w:proofErr w:type="gramStart"/>
            <w:r w:rsidRPr="00AA20F4">
              <w:rPr>
                <w:rFonts w:hint="eastAsia"/>
              </w:rPr>
              <w:t>除网络</w:t>
            </w:r>
            <w:proofErr w:type="gramEnd"/>
            <w:r w:rsidRPr="00AA20F4">
              <w:rPr>
                <w:rFonts w:hint="eastAsia"/>
              </w:rPr>
              <w:t>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81FDC">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81FDC">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81FDC">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lastRenderedPageBreak/>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81FDC">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81FDC">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81FDC">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81FDC">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81FDC">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）应建立外联单位联系列表，包括外联单位名称、合作内容、联系人和联系方式等信息。</w:t>
            </w:r>
          </w:p>
        </w:tc>
      </w:tr>
      <w:tr w:rsidR="00906941" w14:paraId="0817DB65" w14:textId="77777777" w:rsidTr="00981FDC">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rsidP="001608E7">
      <w:pPr>
        <w:pStyle w:val="4"/>
        <w:numPr>
          <w:ilvl w:val="3"/>
          <w:numId w:val="48"/>
        </w:numPr>
      </w:pPr>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lastRenderedPageBreak/>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981FDC">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981FDC">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981FDC">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981FDC">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w:t>
            </w:r>
            <w:proofErr w:type="gramStart"/>
            <w:r w:rsidRPr="00707B71">
              <w:rPr>
                <w:rFonts w:hint="eastAsia"/>
              </w:rPr>
              <w:t>过处罚</w:t>
            </w:r>
            <w:proofErr w:type="gramEnd"/>
            <w:r w:rsidRPr="00707B71">
              <w:rPr>
                <w:rFonts w:hint="eastAsia"/>
              </w:rPr>
              <w:t>或处分的人员，</w:t>
            </w:r>
            <w:proofErr w:type="gramStart"/>
            <w:r w:rsidRPr="00707B71">
              <w:rPr>
                <w:rFonts w:hint="eastAsia"/>
              </w:rPr>
              <w:t>不</w:t>
            </w:r>
            <w:proofErr w:type="gramEnd"/>
            <w:r w:rsidRPr="00707B71">
              <w:rPr>
                <w:rFonts w:hint="eastAsia"/>
              </w:rPr>
              <w:t>应从</w:t>
            </w:r>
            <w:proofErr w:type="gramStart"/>
            <w:r w:rsidRPr="00707B71">
              <w:rPr>
                <w:rFonts w:hint="eastAsia"/>
              </w:rPr>
              <w:t>事网络</w:t>
            </w:r>
            <w:proofErr w:type="gramEnd"/>
            <w:r w:rsidRPr="00707B71">
              <w:rPr>
                <w:rFonts w:hint="eastAsia"/>
              </w:rPr>
              <w:t>安全管理工作。（</w:t>
            </w:r>
            <w:r w:rsidRPr="00707B71">
              <w:rPr>
                <w:rFonts w:hint="eastAsia"/>
              </w:rPr>
              <w:t>F2</w:t>
            </w:r>
            <w:r w:rsidRPr="00707B71">
              <w:rPr>
                <w:rFonts w:hint="eastAsia"/>
              </w:rPr>
              <w:t>）</w:t>
            </w:r>
          </w:p>
        </w:tc>
      </w:tr>
      <w:tr w:rsidR="00906941" w14:paraId="38A1E858" w14:textId="77777777" w:rsidTr="00981FDC">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981FDC">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981FDC">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981FDC">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981FDC">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981FDC">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）应在外部人员接入受控网络访问系统前先提出书面申请，批准后由专人开设账户、分配权限，并登记备案。</w:t>
            </w:r>
          </w:p>
        </w:tc>
      </w:tr>
      <w:tr w:rsidR="00906941" w14:paraId="6710AAF1" w14:textId="77777777" w:rsidTr="00981FDC">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981FDC">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lastRenderedPageBreak/>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7D508A64" w14:textId="7D58BBE8" w:rsidR="00010760" w:rsidRDefault="00611792" w:rsidP="001608E7">
      <w:pPr>
        <w:pStyle w:val="4"/>
        <w:numPr>
          <w:ilvl w:val="3"/>
          <w:numId w:val="48"/>
        </w:numPr>
      </w:pPr>
      <w:r>
        <w:t>测评内容</w:t>
      </w:r>
      <w:bookmarkEnd w:id="179"/>
      <w:bookmarkEnd w:id="180"/>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r w:rsidRPr="00906941">
              <w:rPr>
                <w:rFonts w:ascii="宋体" w:hAnsi="宋体"/>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proofErr w:type="gramStart"/>
            <w:r w:rsidRPr="00906941">
              <w:rPr>
                <w:rFonts w:ascii="宋体" w:hAnsi="宋体"/>
                <w:b/>
                <w:szCs w:val="21"/>
              </w:rPr>
              <w:t>安全子</w:t>
            </w:r>
            <w:proofErr w:type="gramEnd"/>
            <w:r w:rsidRPr="00906941">
              <w:rPr>
                <w:rFonts w:ascii="宋体" w:hAnsi="宋体"/>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981FDC">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981FDC">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981FDC">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w:t>
            </w:r>
            <w:r w:rsidRPr="00906941">
              <w:rPr>
                <w:rFonts w:ascii="宋体" w:hAnsi="宋体" w:cs="Arial" w:hint="eastAsia"/>
                <w:szCs w:val="21"/>
              </w:rPr>
              <w:lastRenderedPageBreak/>
              <w:t>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w:t>
            </w:r>
            <w:proofErr w:type="gramStart"/>
            <w:r w:rsidRPr="00906941">
              <w:rPr>
                <w:rFonts w:ascii="宋体" w:hAnsi="宋体" w:cs="Arial" w:hint="eastAsia"/>
                <w:szCs w:val="21"/>
              </w:rPr>
              <w:t>链各方</w:t>
            </w:r>
            <w:proofErr w:type="gramEnd"/>
            <w:r w:rsidRPr="00906941">
              <w:rPr>
                <w:rFonts w:ascii="宋体" w:hAnsi="宋体" w:cs="Arial" w:hint="eastAsia"/>
                <w:szCs w:val="21"/>
              </w:rPr>
              <w:t>需履行的网络安全相关义务。</w:t>
            </w:r>
          </w:p>
        </w:tc>
      </w:tr>
    </w:tbl>
    <w:p w14:paraId="2348A104" w14:textId="77777777" w:rsidR="00010760" w:rsidRDefault="00010760"/>
    <w:p w14:paraId="44C62A95" w14:textId="77777777" w:rsidR="00010760" w:rsidRDefault="00611792" w:rsidP="001608E7">
      <w:pPr>
        <w:pStyle w:val="4"/>
        <w:numPr>
          <w:ilvl w:val="3"/>
          <w:numId w:val="48"/>
        </w:numPr>
      </w:pPr>
      <w:bookmarkStart w:id="182" w:name="_Toc367280160"/>
      <w:bookmarkStart w:id="183" w:name="_Toc34219816"/>
      <w:bookmarkStart w:id="184" w:name="_Toc28939639"/>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proofErr w:type="gramStart"/>
      <w:r w:rsidRPr="00FA5233">
        <w:rPr>
          <w:b/>
        </w:rPr>
        <w:t>安全运维管理</w:t>
      </w:r>
      <w:proofErr w:type="gramEnd"/>
      <w:r w:rsidRPr="00FA5233">
        <w:rPr>
          <w:b/>
        </w:rPr>
        <w:t>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81FDC">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81FDC">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81FDC">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81FDC">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proofErr w:type="spellStart"/>
            <w:r w:rsidRPr="007B7EA1">
              <w:rPr>
                <w:rFonts w:hint="eastAsia"/>
              </w:rPr>
              <w:t>i</w:t>
            </w:r>
            <w:proofErr w:type="spellEnd"/>
            <w:r w:rsidRPr="007B7EA1">
              <w:rPr>
                <w:rFonts w:hint="eastAsia"/>
              </w:rPr>
              <w:t>）应不在重要区域接待来访人员，不随意放置含有敏感信息的</w:t>
            </w:r>
            <w:proofErr w:type="gramStart"/>
            <w:r w:rsidRPr="007B7EA1">
              <w:rPr>
                <w:rFonts w:hint="eastAsia"/>
              </w:rPr>
              <w:t>纸档文件</w:t>
            </w:r>
            <w:proofErr w:type="gramEnd"/>
            <w:r w:rsidRPr="007B7EA1">
              <w:rPr>
                <w:rFonts w:hint="eastAsia"/>
              </w:rPr>
              <w:t>和移动介质等。</w:t>
            </w:r>
          </w:p>
        </w:tc>
      </w:tr>
      <w:tr w:rsidR="00906941" w14:paraId="71F14DF1" w14:textId="77777777" w:rsidTr="00981FDC">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81FDC">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lastRenderedPageBreak/>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81FDC">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w:t>
            </w:r>
            <w:proofErr w:type="gramStart"/>
            <w:r w:rsidRPr="007B7EA1">
              <w:rPr>
                <w:rFonts w:hint="eastAsia"/>
              </w:rPr>
              <w:t>处理仅</w:t>
            </w:r>
            <w:proofErr w:type="gramEnd"/>
            <w:r w:rsidRPr="007B7EA1">
              <w:rPr>
                <w:rFonts w:hint="eastAsia"/>
              </w:rPr>
              <w:t>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81FDC">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81FDC">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81FDC">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81FDC">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81FDC">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w:t>
            </w:r>
            <w:proofErr w:type="gramStart"/>
            <w:r w:rsidRPr="007B7EA1">
              <w:rPr>
                <w:rFonts w:hint="eastAsia"/>
              </w:rPr>
              <w:t>处理仅</w:t>
            </w:r>
            <w:proofErr w:type="gramEnd"/>
            <w:r w:rsidRPr="007B7EA1">
              <w:rPr>
                <w:rFonts w:hint="eastAsia"/>
              </w:rPr>
              <w:t>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81FDC">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81FDC">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lastRenderedPageBreak/>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81FDC">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81FDC">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）应建立网络和系统安全管理制度，对安全策略、账户管理、配置管理、日志管理、日常操作、升级与打补丁、口令更新周期等方面</w:t>
            </w:r>
            <w:proofErr w:type="gramStart"/>
            <w:r w:rsidRPr="007B7EA1">
              <w:rPr>
                <w:rFonts w:hint="eastAsia"/>
              </w:rPr>
              <w:t>作出</w:t>
            </w:r>
            <w:proofErr w:type="gramEnd"/>
            <w:r w:rsidRPr="007B7EA1">
              <w:rPr>
                <w:rFonts w:hint="eastAsia"/>
              </w:rPr>
              <w:t>规定。</w:t>
            </w:r>
          </w:p>
        </w:tc>
      </w:tr>
      <w:tr w:rsidR="00906941" w14:paraId="25606161" w14:textId="77777777" w:rsidTr="00981FDC">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w:t>
            </w:r>
            <w:proofErr w:type="gramStart"/>
            <w:r w:rsidRPr="007B7EA1">
              <w:rPr>
                <w:rFonts w:hint="eastAsia"/>
              </w:rPr>
              <w:t>定重要</w:t>
            </w:r>
            <w:proofErr w:type="gramEnd"/>
            <w:r w:rsidRPr="007B7EA1">
              <w:rPr>
                <w:rFonts w:hint="eastAsia"/>
              </w:rPr>
              <w:t>设备的配置和操作手册，依据手册对设备进行安全配置和优化配置等。</w:t>
            </w:r>
          </w:p>
        </w:tc>
      </w:tr>
      <w:tr w:rsidR="00906941" w14:paraId="4AF59D64" w14:textId="77777777" w:rsidTr="00981FDC">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w:t>
            </w:r>
            <w:proofErr w:type="gramStart"/>
            <w:r w:rsidRPr="007B7EA1">
              <w:rPr>
                <w:rFonts w:hint="eastAsia"/>
              </w:rPr>
              <w:t>维操作</w:t>
            </w:r>
            <w:proofErr w:type="gramEnd"/>
            <w:r w:rsidRPr="007B7EA1">
              <w:rPr>
                <w:rFonts w:hint="eastAsia"/>
              </w:rPr>
              <w:t>日志，包括日常巡检工作、运行维护记录、参数的设置和修改等内容。</w:t>
            </w:r>
          </w:p>
        </w:tc>
      </w:tr>
      <w:tr w:rsidR="00906941" w14:paraId="2783F51F" w14:textId="77777777" w:rsidTr="00981FDC">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81FDC">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81FDC">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81FDC">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proofErr w:type="spellStart"/>
            <w:r w:rsidRPr="007B7EA1">
              <w:rPr>
                <w:rFonts w:hint="eastAsia"/>
              </w:rPr>
              <w:t>i</w:t>
            </w:r>
            <w:proofErr w:type="spellEnd"/>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81FDC">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81FDC">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81FDC">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81FDC">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81FDC">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lastRenderedPageBreak/>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81FDC">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81FDC">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81FDC">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81FDC">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81FDC">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81FDC">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81FDC">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81FDC">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81FDC">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81FDC">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81FDC">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）应建立灾难恢复计划，定期开展灾难恢复培训，并根据实际情况进行灾难恢复演练。（</w:t>
            </w:r>
            <w:r w:rsidRPr="007B7EA1">
              <w:rPr>
                <w:rFonts w:hint="eastAsia"/>
              </w:rPr>
              <w:t>F2</w:t>
            </w:r>
            <w:r w:rsidRPr="007B7EA1">
              <w:rPr>
                <w:rFonts w:hint="eastAsia"/>
              </w:rPr>
              <w:t>）</w:t>
            </w:r>
          </w:p>
        </w:tc>
      </w:tr>
      <w:tr w:rsidR="00906941" w14:paraId="087EB9EE" w14:textId="77777777" w:rsidTr="00981FDC">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81FDC">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w:t>
            </w:r>
            <w:r w:rsidRPr="007B7EA1">
              <w:rPr>
                <w:rFonts w:hint="eastAsia"/>
              </w:rPr>
              <w:lastRenderedPageBreak/>
              <w:t>管理职责等。</w:t>
            </w:r>
          </w:p>
        </w:tc>
      </w:tr>
      <w:tr w:rsidR="00906941" w14:paraId="60FD6D76" w14:textId="77777777" w:rsidTr="00981FDC">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lastRenderedPageBreak/>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81FDC">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w:t>
            </w:r>
            <w:proofErr w:type="gramStart"/>
            <w:r w:rsidRPr="007B7EA1">
              <w:rPr>
                <w:rFonts w:hint="eastAsia"/>
              </w:rPr>
              <w:t>定重要</w:t>
            </w:r>
            <w:proofErr w:type="gramEnd"/>
            <w:r w:rsidRPr="007B7EA1">
              <w:rPr>
                <w:rFonts w:hint="eastAsia"/>
              </w:rPr>
              <w:t>事件的应急预案，包括应急处理流程、系统恢复流程等内容。</w:t>
            </w:r>
          </w:p>
        </w:tc>
      </w:tr>
      <w:tr w:rsidR="00906941" w14:paraId="02930B83" w14:textId="77777777" w:rsidTr="00981FDC">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81FDC">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81FDC">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81FDC">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81FDC">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81FDC">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81FDC">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81FDC">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w:t>
            </w:r>
            <w:proofErr w:type="gramStart"/>
            <w:r w:rsidRPr="007B7EA1">
              <w:rPr>
                <w:rFonts w:hint="eastAsia"/>
              </w:rPr>
              <w:t>定数据</w:t>
            </w:r>
            <w:proofErr w:type="gramEnd"/>
            <w:r w:rsidRPr="007B7EA1">
              <w:rPr>
                <w:rFonts w:hint="eastAsia"/>
              </w:rPr>
              <w:t>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4F20853F" w:rsidR="00981FDC" w:rsidRDefault="00981FDC" w:rsidP="00512AC5">
      <w:pPr>
        <w:pStyle w:val="20"/>
        <w:numPr>
          <w:ilvl w:val="1"/>
          <w:numId w:val="53"/>
        </w:numPr>
      </w:pPr>
      <w:bookmarkStart w:id="202" w:name="_Toc80268301"/>
      <w:proofErr w:type="gramStart"/>
      <w:r>
        <w:rPr>
          <w:rFonts w:hint="eastAsia"/>
        </w:rPr>
        <w:t>云计算</w:t>
      </w:r>
      <w:proofErr w:type="gramEnd"/>
      <w:r>
        <w:rPr>
          <w:rFonts w:hint="eastAsia"/>
        </w:rPr>
        <w:t>安全测评扩展要求</w:t>
      </w:r>
    </w:p>
    <w:p w14:paraId="2DA4A7F1" w14:textId="1EFD8811" w:rsidR="00F115D6" w:rsidRPr="00F115D6" w:rsidRDefault="00F115D6" w:rsidP="00630D2E">
      <w:pPr>
        <w:ind w:leftChars="200" w:left="420"/>
      </w:pPr>
      <w:r>
        <w:rPr>
          <w:rFonts w:hint="eastAsia"/>
        </w:rPr>
        <w:t>本次</w:t>
      </w:r>
      <w:proofErr w:type="gramStart"/>
      <w:r>
        <w:rPr>
          <w:rFonts w:hint="eastAsia"/>
        </w:rPr>
        <w:t>测评未涉及</w:t>
      </w:r>
      <w:r w:rsidRPr="00F115D6">
        <w:rPr>
          <w:rFonts w:hint="eastAsia"/>
        </w:rPr>
        <w:t>云计算</w:t>
      </w:r>
      <w:proofErr w:type="gramEnd"/>
      <w:r w:rsidRPr="00F115D6">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0"/>
        <w:numPr>
          <w:ilvl w:val="1"/>
          <w:numId w:val="53"/>
        </w:numPr>
      </w:pPr>
      <w:r>
        <w:rPr>
          <w:rFonts w:hint="eastAsia"/>
        </w:rPr>
        <w:t>工具测试</w:t>
      </w:r>
      <w:bookmarkEnd w:id="53"/>
      <w:bookmarkEnd w:id="202"/>
    </w:p>
    <w:p w14:paraId="373140EA" w14:textId="6A217EB6" w:rsidR="00010760" w:rsidRDefault="00611792">
      <w:pPr>
        <w:pStyle w:val="afa"/>
        <w:widowControl/>
        <w:spacing w:after="0"/>
        <w:ind w:firstLine="480"/>
        <w:rPr>
          <w:color w:val="000000"/>
        </w:rPr>
      </w:pPr>
      <w:r>
        <w:rPr>
          <w:color w:val="000000"/>
        </w:rPr>
        <w:t>本次测评的信息系统为</w:t>
      </w:r>
      <w:r>
        <w:rPr>
          <w:color w:val="FF0000"/>
        </w:rPr>
        <w:t>第</w:t>
      </w:r>
      <w:r w:rsidR="00F62A59">
        <w:rPr>
          <w:rFonts w:hint="eastAsia"/>
          <w:color w:val="FF0000"/>
        </w:rPr>
        <w:t>二</w:t>
      </w:r>
      <w:r>
        <w:rPr>
          <w:color w:val="FF0000"/>
        </w:rPr>
        <w:t>级</w:t>
      </w:r>
      <w:r>
        <w:rPr>
          <w:color w:val="000000"/>
        </w:rPr>
        <w:t>信息系统，根据</w:t>
      </w:r>
      <w:r>
        <w:rPr>
          <w:color w:val="FF0000"/>
        </w:rPr>
        <w:t>第</w:t>
      </w:r>
      <w:r w:rsidR="00F62A59">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79CA016" w14:textId="77777777" w:rsidR="00F62A59" w:rsidRDefault="00F62A59" w:rsidP="00F62A5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7EB654D0" w14:textId="43BC9B53" w:rsidR="00F62A59" w:rsidRDefault="00F62A59" w:rsidP="00F62A5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4B98FEA7" w14:textId="77777777" w:rsidR="00310325" w:rsidRDefault="00310325" w:rsidP="00310325">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3BDAE70D"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F62A59" w14:paraId="65F5313F" w14:textId="77777777" w:rsidTr="00580622">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310D6ABB" w14:textId="77777777" w:rsidR="00F62A59" w:rsidRDefault="00F62A59" w:rsidP="00580622">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AC46332"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B1E582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6285B5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7544A830"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说明</w:t>
            </w:r>
          </w:p>
        </w:tc>
      </w:tr>
      <w:tr w:rsidR="00F62A59" w14:paraId="71211ADE"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6F28D0"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57D6EC1"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180ECEFD"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B277078" w14:textId="77777777" w:rsidR="00F62A59" w:rsidRPr="006A44C6" w:rsidRDefault="00F62A59" w:rsidP="00580622">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31253AF"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6EE8F5A2"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109CA1"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E559F21" w14:textId="77777777" w:rsidR="00F62A59" w:rsidRDefault="00F62A59" w:rsidP="00580622">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35C6C29B"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24737A"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26EC785"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2CE1826"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A242A28"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8723D70" w14:textId="77777777" w:rsidR="00F62A59" w:rsidRDefault="00F62A59" w:rsidP="00580622">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31ABC3BC"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80D92B" w14:textId="77777777" w:rsidR="00F62A59" w:rsidRDefault="00F62A59" w:rsidP="00580622">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18003D"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58392C4C"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7814A89"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361556B7"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6BAC888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FE0838"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08E2549"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D2B74ED"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654417"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F1F015"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6B944BA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326AFA4"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6E2CF121"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0"/>
        <w:numPr>
          <w:ilvl w:val="1"/>
          <w:numId w:val="53"/>
        </w:numPr>
      </w:pPr>
      <w:bookmarkStart w:id="204" w:name="_Toc80268302"/>
      <w:bookmarkStart w:id="205" w:name="_Toc367280167"/>
      <w:bookmarkEnd w:id="203"/>
      <w:r>
        <w:rPr>
          <w:rFonts w:hint="eastAsia"/>
        </w:rPr>
        <w:lastRenderedPageBreak/>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lastRenderedPageBreak/>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0"/>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w:t>
      </w:r>
      <w:r w:rsidR="00133E96" w:rsidRPr="00133E96">
        <w:rPr>
          <w:rFonts w:hint="eastAsia"/>
        </w:rPr>
        <w:lastRenderedPageBreak/>
        <w:t>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299DE688"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BB2A6E">
        <w:rPr>
          <w:rFonts w:ascii="宋体" w:hAnsi="宋体" w:hint="eastAsia"/>
          <w:sz w:val="24"/>
        </w:rPr>
        <w:t>网络</w:t>
      </w:r>
      <w:r>
        <w:rPr>
          <w:rFonts w:ascii="宋体" w:hAnsi="宋体" w:hint="eastAsia"/>
          <w:sz w:val="24"/>
        </w:rPr>
        <w:t>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119B" w14:textId="77777777" w:rsidR="00C36A4E" w:rsidRDefault="00C36A4E">
      <w:r>
        <w:separator/>
      </w:r>
    </w:p>
  </w:endnote>
  <w:endnote w:type="continuationSeparator" w:id="0">
    <w:p w14:paraId="5A7B0170" w14:textId="77777777" w:rsidR="00C36A4E" w:rsidRDefault="00C3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7755241D"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AA6E61">
      <w:rPr>
        <w:rFonts w:ascii="Times New Roman" w:hAnsi="Times New Roman"/>
        <w:noProof/>
        <w:sz w:val="21"/>
        <w:szCs w:val="21"/>
      </w:rPr>
      <w:t>43</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95283" w14:textId="77777777" w:rsidR="00C36A4E" w:rsidRDefault="00C36A4E">
      <w:r>
        <w:separator/>
      </w:r>
    </w:p>
  </w:footnote>
  <w:footnote w:type="continuationSeparator" w:id="0">
    <w:p w14:paraId="0B4065D3" w14:textId="77777777" w:rsidR="00C36A4E" w:rsidRDefault="00C36A4E">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620ED89B"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AA6E61">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9"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8"/>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50"/>
  </w:num>
  <w:num w:numId="10">
    <w:abstractNumId w:val="32"/>
  </w:num>
  <w:num w:numId="11">
    <w:abstractNumId w:val="16"/>
  </w:num>
  <w:num w:numId="12">
    <w:abstractNumId w:val="24"/>
  </w:num>
  <w:num w:numId="13">
    <w:abstractNumId w:val="15"/>
  </w:num>
  <w:num w:numId="14">
    <w:abstractNumId w:val="3"/>
  </w:num>
  <w:num w:numId="15">
    <w:abstractNumId w:val="48"/>
  </w:num>
  <w:num w:numId="16">
    <w:abstractNumId w:val="44"/>
  </w:num>
  <w:num w:numId="17">
    <w:abstractNumId w:val="26"/>
  </w:num>
  <w:num w:numId="18">
    <w:abstractNumId w:val="23"/>
  </w:num>
  <w:num w:numId="19">
    <w:abstractNumId w:val="36"/>
  </w:num>
  <w:num w:numId="20">
    <w:abstractNumId w:val="5"/>
  </w:num>
  <w:num w:numId="21">
    <w:abstractNumId w:val="49"/>
  </w:num>
  <w:num w:numId="22">
    <w:abstractNumId w:val="18"/>
  </w:num>
  <w:num w:numId="23">
    <w:abstractNumId w:val="31"/>
  </w:num>
  <w:num w:numId="24">
    <w:abstractNumId w:val="8"/>
  </w:num>
  <w:num w:numId="25">
    <w:abstractNumId w:val="46"/>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8"/>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5"/>
  </w:num>
  <w:num w:numId="41">
    <w:abstractNumId w:val="40"/>
  </w:num>
  <w:num w:numId="42">
    <w:abstractNumId w:val="10"/>
  </w:num>
  <w:num w:numId="43">
    <w:abstractNumId w:val="19"/>
  </w:num>
  <w:num w:numId="44">
    <w:abstractNumId w:val="4"/>
  </w:num>
  <w:num w:numId="45">
    <w:abstractNumId w:val="20"/>
  </w:num>
  <w:num w:numId="46">
    <w:abstractNumId w:val="47"/>
  </w:num>
  <w:num w:numId="47">
    <w:abstractNumId w:val="1"/>
  </w:num>
  <w:num w:numId="48">
    <w:abstractNumId w:val="2"/>
  </w:num>
  <w:num w:numId="49">
    <w:abstractNumId w:val="48"/>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8"/>
  </w:num>
  <w:num w:numId="52">
    <w:abstractNumId w:val="12"/>
  </w:num>
  <w:num w:numId="53">
    <w:abstractNumId w:val="38"/>
  </w:num>
  <w:num w:numId="54">
    <w:abstractNumId w:val="6"/>
  </w:num>
  <w:num w:numId="55">
    <w:abstractNumId w:val="30"/>
  </w:num>
  <w:num w:numId="56">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2510"/>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400"/>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0325"/>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67999"/>
    <w:rsid w:val="00371C9F"/>
    <w:rsid w:val="00371FCF"/>
    <w:rsid w:val="003778E9"/>
    <w:rsid w:val="00382EAD"/>
    <w:rsid w:val="003854FB"/>
    <w:rsid w:val="00385C28"/>
    <w:rsid w:val="00387C7C"/>
    <w:rsid w:val="00393DF3"/>
    <w:rsid w:val="003942D6"/>
    <w:rsid w:val="0039438C"/>
    <w:rsid w:val="00394865"/>
    <w:rsid w:val="00396031"/>
    <w:rsid w:val="003971DF"/>
    <w:rsid w:val="003A4809"/>
    <w:rsid w:val="003A555E"/>
    <w:rsid w:val="003A7298"/>
    <w:rsid w:val="003B0061"/>
    <w:rsid w:val="003B17D1"/>
    <w:rsid w:val="003B2F63"/>
    <w:rsid w:val="003B3B85"/>
    <w:rsid w:val="003B65DF"/>
    <w:rsid w:val="003C21ED"/>
    <w:rsid w:val="003C43CF"/>
    <w:rsid w:val="003C5ECA"/>
    <w:rsid w:val="003C7FE1"/>
    <w:rsid w:val="003D1541"/>
    <w:rsid w:val="003D4472"/>
    <w:rsid w:val="003D6EF3"/>
    <w:rsid w:val="003E1980"/>
    <w:rsid w:val="003E1A16"/>
    <w:rsid w:val="003E67DE"/>
    <w:rsid w:val="003E68A8"/>
    <w:rsid w:val="003E7AA7"/>
    <w:rsid w:val="003F1233"/>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0D2E"/>
    <w:rsid w:val="00636ADE"/>
    <w:rsid w:val="00643B08"/>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56BF"/>
    <w:rsid w:val="00946169"/>
    <w:rsid w:val="00950016"/>
    <w:rsid w:val="009510DE"/>
    <w:rsid w:val="009523E3"/>
    <w:rsid w:val="009565E9"/>
    <w:rsid w:val="0095690C"/>
    <w:rsid w:val="0096149B"/>
    <w:rsid w:val="00961835"/>
    <w:rsid w:val="00961CCB"/>
    <w:rsid w:val="00961EBB"/>
    <w:rsid w:val="0096263E"/>
    <w:rsid w:val="009633C5"/>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6E61"/>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46"/>
    <w:rsid w:val="00B505F5"/>
    <w:rsid w:val="00B518FE"/>
    <w:rsid w:val="00B56054"/>
    <w:rsid w:val="00B57A30"/>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2A6E"/>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02F3"/>
    <w:rsid w:val="00C15B95"/>
    <w:rsid w:val="00C16273"/>
    <w:rsid w:val="00C17539"/>
    <w:rsid w:val="00C20991"/>
    <w:rsid w:val="00C2418B"/>
    <w:rsid w:val="00C2739B"/>
    <w:rsid w:val="00C36A4E"/>
    <w:rsid w:val="00C40724"/>
    <w:rsid w:val="00C43DF8"/>
    <w:rsid w:val="00C44EDD"/>
    <w:rsid w:val="00C47978"/>
    <w:rsid w:val="00C5303C"/>
    <w:rsid w:val="00C54243"/>
    <w:rsid w:val="00C56001"/>
    <w:rsid w:val="00C5604F"/>
    <w:rsid w:val="00C600AB"/>
    <w:rsid w:val="00C602E0"/>
    <w:rsid w:val="00C611C6"/>
    <w:rsid w:val="00C70ADF"/>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829"/>
    <w:rsid w:val="00CA7C09"/>
    <w:rsid w:val="00CB1BFA"/>
    <w:rsid w:val="00CB1FDD"/>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9BD"/>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4A1E"/>
    <w:rsid w:val="00EE74EF"/>
    <w:rsid w:val="00EF04FA"/>
    <w:rsid w:val="00EF3AF6"/>
    <w:rsid w:val="00EF3D50"/>
    <w:rsid w:val="00F00471"/>
    <w:rsid w:val="00F01FCD"/>
    <w:rsid w:val="00F02A78"/>
    <w:rsid w:val="00F0433C"/>
    <w:rsid w:val="00F07C3F"/>
    <w:rsid w:val="00F100AF"/>
    <w:rsid w:val="00F115D6"/>
    <w:rsid w:val="00F125CA"/>
    <w:rsid w:val="00F17479"/>
    <w:rsid w:val="00F2209E"/>
    <w:rsid w:val="00F2696A"/>
    <w:rsid w:val="00F3032A"/>
    <w:rsid w:val="00F30983"/>
    <w:rsid w:val="00F34DC2"/>
    <w:rsid w:val="00F37444"/>
    <w:rsid w:val="00F44EA9"/>
    <w:rsid w:val="00F52BA9"/>
    <w:rsid w:val="00F531F6"/>
    <w:rsid w:val="00F62A59"/>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C5835"/>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qFormat/>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paragraph" w:customStyle="1" w:styleId="2">
    <w:name w:val="正文2"/>
    <w:basedOn w:val="10"/>
    <w:qFormat/>
    <w:rsid w:val="00AA6E61"/>
    <w:pPr>
      <w:numPr>
        <w:numId w:val="56"/>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47</Pages>
  <Words>4648</Words>
  <Characters>26498</Characters>
  <Application>Microsoft Office Word</Application>
  <DocSecurity>0</DocSecurity>
  <Lines>220</Lines>
  <Paragraphs>62</Paragraphs>
  <ScaleCrop>false</ScaleCrop>
  <Company>China</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12</cp:revision>
  <cp:lastPrinted>2013-11-28T08:12:00Z</cp:lastPrinted>
  <dcterms:created xsi:type="dcterms:W3CDTF">2022-01-12T04:55:00Z</dcterms:created>
  <dcterms:modified xsi:type="dcterms:W3CDTF">2022-01-14T02:13:00Z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